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9D7556">
      <w:pPr>
        <w:snapToGrid w:val="0"/>
        <w:spacing w:line="420" w:lineRule="auto"/>
        <w:jc w:val="both"/>
        <w:rPr>
          <w:sz w:val="24"/>
          <w:szCs w:val="24"/>
        </w:rPr>
      </w:pPr>
    </w:p>
    <w:p w14:paraId="7518FA7A">
      <w:pPr>
        <w:snapToGrid w:val="0"/>
        <w:spacing w:line="420" w:lineRule="auto"/>
        <w:jc w:val="center"/>
        <w:rPr>
          <w:sz w:val="28"/>
          <w:szCs w:val="28"/>
        </w:rPr>
      </w:pPr>
    </w:p>
    <w:p w14:paraId="212A85A8">
      <w:pPr>
        <w:pStyle w:val="18"/>
        <w:jc w:val="center"/>
        <w:rPr>
          <w:rFonts w:hint="eastAsia" w:ascii="宋体" w:hAnsi="宋体"/>
          <w:b/>
          <w:bCs/>
          <w:sz w:val="72"/>
          <w:szCs w:val="72"/>
          <w:lang w:val="en-US" w:eastAsia="zh-CN" w:bidi="he-IL"/>
        </w:rPr>
      </w:pPr>
    </w:p>
    <w:p w14:paraId="5D0E43FA">
      <w:pPr>
        <w:pStyle w:val="18"/>
        <w:jc w:val="center"/>
        <w:rPr>
          <w:rFonts w:hint="eastAsia" w:ascii="宋体" w:hAnsi="宋体"/>
          <w:b/>
          <w:bCs/>
          <w:sz w:val="52"/>
          <w:szCs w:val="52"/>
          <w:lang w:eastAsia="zh-CN" w:bidi="he-IL"/>
        </w:rPr>
      </w:pPr>
      <w:r>
        <w:rPr>
          <w:rFonts w:hint="eastAsia" w:ascii="宋体" w:hAnsi="宋体"/>
          <w:b/>
          <w:bCs/>
          <w:sz w:val="72"/>
          <w:szCs w:val="72"/>
          <w:lang w:val="en-US" w:eastAsia="zh-CN" w:bidi="he-IL"/>
        </w:rPr>
        <w:t>南澳县博物馆消防维护修理及监控设备合并扩容项目</w:t>
      </w:r>
    </w:p>
    <w:p w14:paraId="350A17B4">
      <w:pPr>
        <w:pStyle w:val="18"/>
        <w:rPr>
          <w:rFonts w:hint="eastAsia" w:ascii="宋体" w:hAnsi="宋体"/>
          <w:b/>
          <w:bCs/>
          <w:sz w:val="52"/>
          <w:szCs w:val="52"/>
          <w:lang w:eastAsia="zh-CN" w:bidi="he-IL"/>
        </w:rPr>
      </w:pPr>
    </w:p>
    <w:p w14:paraId="557143F4">
      <w:pPr>
        <w:spacing w:line="360" w:lineRule="auto"/>
        <w:jc w:val="center"/>
        <w:rPr>
          <w:rFonts w:hint="eastAsia" w:ascii="宋体" w:hAnsi="宋体"/>
          <w:b/>
          <w:bCs/>
          <w:sz w:val="84"/>
          <w:szCs w:val="84"/>
          <w:lang w:bidi="he-IL"/>
        </w:rPr>
      </w:pPr>
    </w:p>
    <w:p w14:paraId="1742ABA5">
      <w:pPr>
        <w:spacing w:line="360" w:lineRule="auto"/>
        <w:jc w:val="center"/>
        <w:rPr>
          <w:rFonts w:ascii="仿宋_GB2312" w:eastAsia="仿宋_GB2312"/>
          <w:b/>
          <w:bCs/>
          <w:sz w:val="72"/>
          <w:szCs w:val="72"/>
        </w:rPr>
      </w:pPr>
      <w:r>
        <w:rPr>
          <w:rFonts w:hint="eastAsia" w:ascii="宋体" w:hAnsi="宋体"/>
          <w:b/>
          <w:bCs/>
          <w:sz w:val="84"/>
          <w:szCs w:val="84"/>
          <w:lang w:bidi="he-IL"/>
        </w:rPr>
        <w:t>工程竞争性磋商文件</w:t>
      </w:r>
    </w:p>
    <w:p w14:paraId="7B71CBB3">
      <w:pPr>
        <w:spacing w:line="360" w:lineRule="auto"/>
        <w:rPr>
          <w:rFonts w:ascii="宋体" w:hAnsi="宋体"/>
          <w:sz w:val="24"/>
        </w:rPr>
      </w:pPr>
    </w:p>
    <w:p w14:paraId="4CE4602D">
      <w:pPr>
        <w:pStyle w:val="2"/>
      </w:pPr>
    </w:p>
    <w:p w14:paraId="696C1CA4">
      <w:pPr>
        <w:snapToGrid w:val="0"/>
        <w:spacing w:line="720" w:lineRule="auto"/>
        <w:ind w:firstLine="964" w:firstLineChars="300"/>
        <w:rPr>
          <w:rFonts w:hint="eastAsia" w:ascii="宋体" w:hAnsi="宋体"/>
          <w:b/>
          <w:sz w:val="32"/>
          <w:szCs w:val="32"/>
        </w:rPr>
      </w:pPr>
    </w:p>
    <w:p w14:paraId="3E605E2D">
      <w:pPr>
        <w:snapToGrid w:val="0"/>
        <w:spacing w:line="720" w:lineRule="auto"/>
        <w:ind w:firstLine="964" w:firstLineChars="300"/>
        <w:rPr>
          <w:rFonts w:hint="eastAsia" w:ascii="宋体" w:hAnsi="宋体" w:eastAsia="宋体"/>
          <w:b/>
          <w:sz w:val="32"/>
          <w:szCs w:val="32"/>
          <w:lang w:eastAsia="zh-CN"/>
        </w:rPr>
      </w:pPr>
      <w:r>
        <w:rPr>
          <w:rFonts w:hint="eastAsia" w:ascii="宋体" w:hAnsi="宋体"/>
          <w:b/>
          <w:sz w:val="32"/>
          <w:szCs w:val="32"/>
        </w:rPr>
        <w:t>项目编号：</w:t>
      </w:r>
      <w:r>
        <w:rPr>
          <w:rFonts w:hint="eastAsia" w:ascii="宋体" w:hAnsi="宋体"/>
          <w:b/>
          <w:sz w:val="32"/>
          <w:szCs w:val="32"/>
          <w:lang w:eastAsia="zh-CN"/>
        </w:rPr>
        <w:t>GDQSST2024JC12002S</w:t>
      </w:r>
    </w:p>
    <w:p w14:paraId="107CD662">
      <w:pPr>
        <w:snapToGrid w:val="0"/>
        <w:spacing w:line="720" w:lineRule="auto"/>
        <w:ind w:firstLine="964" w:firstLineChars="300"/>
        <w:rPr>
          <w:rFonts w:hint="default" w:ascii="宋体" w:hAnsi="宋体"/>
          <w:b/>
          <w:sz w:val="32"/>
          <w:szCs w:val="32"/>
          <w:lang w:val="en-US" w:eastAsia="zh-CN"/>
        </w:rPr>
      </w:pPr>
      <w:r>
        <w:rPr>
          <w:rFonts w:hint="eastAsia" w:ascii="宋体" w:hAnsi="宋体"/>
          <w:b/>
          <w:sz w:val="32"/>
          <w:szCs w:val="32"/>
        </w:rPr>
        <w:t>采购人：</w:t>
      </w:r>
      <w:r>
        <w:rPr>
          <w:rFonts w:hint="eastAsia" w:ascii="宋体" w:hAnsi="宋体"/>
          <w:b/>
          <w:sz w:val="32"/>
          <w:szCs w:val="32"/>
          <w:lang w:val="en-US" w:eastAsia="zh-CN"/>
        </w:rPr>
        <w:t>南澳县海防史博物馆</w:t>
      </w:r>
    </w:p>
    <w:p w14:paraId="4379B2AB">
      <w:pPr>
        <w:snapToGrid w:val="0"/>
        <w:spacing w:line="720" w:lineRule="auto"/>
        <w:ind w:firstLine="964" w:firstLineChars="300"/>
        <w:rPr>
          <w:rFonts w:ascii="宋体"/>
          <w:b/>
          <w:sz w:val="32"/>
          <w:szCs w:val="32"/>
        </w:rPr>
      </w:pPr>
      <w:r>
        <w:rPr>
          <w:rFonts w:hint="eastAsia" w:ascii="宋体" w:hAnsi="宋体"/>
          <w:b/>
          <w:sz w:val="32"/>
          <w:szCs w:val="32"/>
        </w:rPr>
        <w:t>采购代理机构：广东群升招标代理有限公司汕头分公司</w:t>
      </w:r>
    </w:p>
    <w:p w14:paraId="1512799D">
      <w:pPr>
        <w:pStyle w:val="19"/>
        <w:spacing w:line="360" w:lineRule="auto"/>
        <w:rPr>
          <w:rFonts w:ascii="黑体" w:hAnsi="华文中宋" w:eastAsia="黑体" w:cs="华文中宋"/>
          <w:sz w:val="30"/>
          <w:szCs w:val="30"/>
        </w:rPr>
      </w:pPr>
      <w:bookmarkStart w:id="0" w:name="_Toc25535"/>
      <w:r>
        <w:rPr>
          <w:rFonts w:hint="eastAsia"/>
        </w:rPr>
        <w:t>二〇二</w:t>
      </w:r>
      <w:r>
        <w:rPr>
          <w:rFonts w:hint="eastAsia"/>
          <w:lang w:eastAsia="zh-CN"/>
        </w:rPr>
        <w:t>四</w:t>
      </w:r>
      <w:r>
        <w:rPr>
          <w:rFonts w:hint="eastAsia"/>
        </w:rPr>
        <w:t>年</w:t>
      </w:r>
      <w:r>
        <w:rPr>
          <w:rFonts w:hint="eastAsia"/>
          <w:lang w:eastAsia="zh-CN"/>
        </w:rPr>
        <w:t>十二</w:t>
      </w:r>
      <w:r>
        <w:rPr>
          <w:rFonts w:hint="eastAsia"/>
        </w:rPr>
        <w:t>月</w:t>
      </w:r>
      <w:bookmarkEnd w:id="0"/>
      <w:r>
        <w:rPr>
          <w:rFonts w:ascii="黑体" w:hAnsi="华文中宋" w:eastAsia="黑体" w:cs="华文中宋"/>
          <w:sz w:val="30"/>
          <w:szCs w:val="30"/>
        </w:rPr>
        <w:br w:type="page"/>
      </w:r>
      <w:r>
        <w:rPr>
          <w:rFonts w:hint="eastAsia" w:ascii="仿宋_GB2312" w:hAnsi="宋体" w:eastAsia="仿宋_GB2312"/>
          <w:b/>
          <w:kern w:val="2"/>
          <w:sz w:val="36"/>
          <w:szCs w:val="36"/>
        </w:rPr>
        <w:t>温馨提示！！！</w:t>
      </w:r>
    </w:p>
    <w:p w14:paraId="34CBF483">
      <w:pPr>
        <w:tabs>
          <w:tab w:val="left" w:pos="0"/>
        </w:tabs>
        <w:snapToGrid w:val="0"/>
        <w:spacing w:line="400" w:lineRule="exact"/>
        <w:jc w:val="center"/>
        <w:rPr>
          <w:rFonts w:ascii="宋体" w:hAnsi="宋体"/>
          <w:b/>
        </w:rPr>
      </w:pPr>
      <w:r>
        <w:rPr>
          <w:rFonts w:hint="eastAsia" w:ascii="宋体" w:hAnsi="宋体"/>
          <w:b/>
        </w:rPr>
        <w:t>（本提示内容非竞争性磋商文件的组成部分，仅为善意提醒。如有不一致的地方，以竞争性磋商文件为准）</w:t>
      </w:r>
    </w:p>
    <w:p w14:paraId="77CD3773">
      <w:pPr>
        <w:numPr>
          <w:ilvl w:val="0"/>
          <w:numId w:val="1"/>
        </w:numPr>
        <w:tabs>
          <w:tab w:val="left" w:pos="709"/>
        </w:tabs>
        <w:autoSpaceDE/>
        <w:autoSpaceDN/>
        <w:snapToGrid w:val="0"/>
        <w:spacing w:line="400" w:lineRule="exact"/>
        <w:ind w:left="700" w:hanging="700"/>
        <w:jc w:val="both"/>
        <w:rPr>
          <w:rFonts w:ascii="宋体" w:hAnsi="宋体"/>
        </w:rPr>
      </w:pPr>
      <w:r>
        <w:rPr>
          <w:rFonts w:hint="eastAsia" w:ascii="宋体" w:hAnsi="宋体"/>
        </w:rPr>
        <w:t>如无另行说明，提交响应文件时间为提交响应文件截止时间</w:t>
      </w:r>
      <w:r>
        <w:rPr>
          <w:rFonts w:hint="eastAsia" w:ascii="宋体" w:hAnsi="宋体"/>
          <w:b/>
          <w:u w:val="single"/>
        </w:rPr>
        <w:t>前30分钟</w:t>
      </w:r>
      <w:r>
        <w:rPr>
          <w:rFonts w:hint="eastAsia" w:ascii="宋体" w:hAnsi="宋体"/>
        </w:rPr>
        <w:t>内。</w:t>
      </w:r>
    </w:p>
    <w:p w14:paraId="4E3DB67D">
      <w:pPr>
        <w:numPr>
          <w:ilvl w:val="0"/>
          <w:numId w:val="1"/>
        </w:numPr>
        <w:tabs>
          <w:tab w:val="left" w:pos="709"/>
        </w:tabs>
        <w:autoSpaceDE/>
        <w:autoSpaceDN/>
        <w:snapToGrid w:val="0"/>
        <w:spacing w:line="400" w:lineRule="exact"/>
        <w:ind w:left="700" w:hanging="700"/>
        <w:jc w:val="both"/>
        <w:rPr>
          <w:rFonts w:ascii="宋体" w:hAnsi="宋体"/>
        </w:rPr>
      </w:pPr>
      <w:r>
        <w:rPr>
          <w:rFonts w:hint="eastAsia" w:ascii="宋体" w:hAnsi="宋体"/>
        </w:rPr>
        <w:t>为避免因迟到而失去投标资格，请</w:t>
      </w:r>
      <w:r>
        <w:rPr>
          <w:rFonts w:hint="eastAsia" w:ascii="宋体" w:hAnsi="宋体"/>
          <w:b/>
          <w:u w:val="single"/>
        </w:rPr>
        <w:t>适当提前到达</w:t>
      </w:r>
      <w:r>
        <w:rPr>
          <w:rFonts w:hint="eastAsia" w:ascii="宋体" w:hAnsi="宋体"/>
        </w:rPr>
        <w:t>。</w:t>
      </w:r>
    </w:p>
    <w:p w14:paraId="0B7BC725">
      <w:pPr>
        <w:numPr>
          <w:ilvl w:val="0"/>
          <w:numId w:val="1"/>
        </w:numPr>
        <w:tabs>
          <w:tab w:val="left" w:pos="709"/>
        </w:tabs>
        <w:autoSpaceDE/>
        <w:autoSpaceDN/>
        <w:snapToGrid w:val="0"/>
        <w:spacing w:line="400" w:lineRule="exact"/>
        <w:ind w:left="700" w:hanging="700"/>
        <w:jc w:val="both"/>
        <w:rPr>
          <w:rFonts w:ascii="宋体" w:hAnsi="宋体"/>
        </w:rPr>
      </w:pPr>
      <w:r>
        <w:rPr>
          <w:rFonts w:hint="eastAsia" w:ascii="宋体" w:hAnsi="宋体"/>
        </w:rPr>
        <w:t>响应文件应按顺序</w:t>
      </w:r>
      <w:r>
        <w:rPr>
          <w:rFonts w:hint="eastAsia" w:ascii="宋体" w:hAnsi="宋体"/>
          <w:b/>
          <w:u w:val="single"/>
        </w:rPr>
        <w:t>编制页码</w:t>
      </w:r>
      <w:r>
        <w:rPr>
          <w:rFonts w:hint="eastAsia" w:ascii="宋体" w:hAnsi="宋体"/>
        </w:rPr>
        <w:t>。</w:t>
      </w:r>
    </w:p>
    <w:p w14:paraId="40380340">
      <w:pPr>
        <w:numPr>
          <w:ilvl w:val="0"/>
          <w:numId w:val="1"/>
        </w:numPr>
        <w:tabs>
          <w:tab w:val="left" w:pos="709"/>
        </w:tabs>
        <w:autoSpaceDE/>
        <w:autoSpaceDN/>
        <w:snapToGrid w:val="0"/>
        <w:spacing w:line="400" w:lineRule="exact"/>
        <w:ind w:left="700" w:hanging="700"/>
        <w:jc w:val="both"/>
        <w:rPr>
          <w:rFonts w:ascii="宋体" w:hAnsi="宋体"/>
        </w:rPr>
      </w:pPr>
      <w:r>
        <w:rPr>
          <w:rFonts w:hint="eastAsia" w:ascii="宋体" w:hAnsi="宋体"/>
        </w:rPr>
        <w:t>请仔细检查响应文件是否已按竞争性磋商文件要求</w:t>
      </w:r>
      <w:r>
        <w:rPr>
          <w:rFonts w:hint="eastAsia" w:ascii="宋体" w:hAnsi="宋体"/>
          <w:b/>
          <w:u w:val="single"/>
        </w:rPr>
        <w:t>盖公章、签名、签署日期</w:t>
      </w:r>
      <w:r>
        <w:rPr>
          <w:rFonts w:hint="eastAsia" w:ascii="宋体" w:hAnsi="宋体"/>
        </w:rPr>
        <w:t>。</w:t>
      </w:r>
    </w:p>
    <w:p w14:paraId="509E90A0">
      <w:pPr>
        <w:numPr>
          <w:ilvl w:val="0"/>
          <w:numId w:val="1"/>
        </w:numPr>
        <w:tabs>
          <w:tab w:val="left" w:pos="709"/>
        </w:tabs>
        <w:autoSpaceDE/>
        <w:autoSpaceDN/>
        <w:snapToGrid w:val="0"/>
        <w:spacing w:line="400" w:lineRule="exact"/>
        <w:ind w:left="700" w:hanging="700"/>
        <w:jc w:val="both"/>
        <w:rPr>
          <w:rFonts w:ascii="宋体" w:hAnsi="宋体"/>
        </w:rPr>
      </w:pPr>
      <w:r>
        <w:rPr>
          <w:rFonts w:hint="eastAsia" w:ascii="宋体" w:hAnsi="宋体"/>
        </w:rPr>
        <w:t>请正确填写《报价一览表》。多包组项目请仔细检查包组号，包组号与包组采购内容必须对应。</w:t>
      </w:r>
    </w:p>
    <w:p w14:paraId="14B168A9">
      <w:pPr>
        <w:numPr>
          <w:ilvl w:val="0"/>
          <w:numId w:val="1"/>
        </w:numPr>
        <w:tabs>
          <w:tab w:val="left" w:pos="709"/>
        </w:tabs>
        <w:autoSpaceDE/>
        <w:autoSpaceDN/>
        <w:snapToGrid w:val="0"/>
        <w:spacing w:line="400" w:lineRule="exact"/>
        <w:ind w:left="700" w:hanging="700"/>
        <w:jc w:val="both"/>
        <w:rPr>
          <w:rFonts w:ascii="宋体" w:hAnsi="宋体"/>
        </w:rPr>
      </w:pPr>
      <w:r>
        <w:rPr>
          <w:rFonts w:hint="eastAsia" w:ascii="宋体" w:hAnsi="宋体"/>
        </w:rPr>
        <w:t>如投标产品属于许可证管理范围内的，须提交相应的许可证。</w:t>
      </w:r>
    </w:p>
    <w:p w14:paraId="7E9BE74F">
      <w:pPr>
        <w:numPr>
          <w:ilvl w:val="0"/>
          <w:numId w:val="1"/>
        </w:numPr>
        <w:tabs>
          <w:tab w:val="left" w:pos="709"/>
        </w:tabs>
        <w:autoSpaceDE/>
        <w:autoSpaceDN/>
        <w:snapToGrid w:val="0"/>
        <w:spacing w:line="400" w:lineRule="exact"/>
        <w:ind w:left="700" w:hanging="700"/>
        <w:jc w:val="both"/>
        <w:rPr>
          <w:rFonts w:ascii="宋体" w:hAnsi="宋体"/>
          <w:kern w:val="2"/>
        </w:rPr>
      </w:pPr>
      <w:r>
        <w:rPr>
          <w:rFonts w:hint="eastAsia" w:ascii="宋体" w:hAnsi="宋体"/>
        </w:rPr>
        <w:t>供应商如需对项目提出询问或质疑，应按竞争性磋商文件附件中的询问函和质疑函的格式提交。</w:t>
      </w:r>
    </w:p>
    <w:p w14:paraId="141E9656">
      <w:pPr>
        <w:numPr>
          <w:ilvl w:val="0"/>
          <w:numId w:val="1"/>
        </w:numPr>
        <w:tabs>
          <w:tab w:val="left" w:pos="709"/>
        </w:tabs>
        <w:autoSpaceDE/>
        <w:autoSpaceDN/>
        <w:snapToGrid w:val="0"/>
        <w:spacing w:line="400" w:lineRule="exact"/>
        <w:ind w:left="700" w:hanging="700"/>
        <w:jc w:val="both"/>
        <w:rPr>
          <w:rFonts w:ascii="宋体" w:hAnsi="宋体"/>
          <w:kern w:val="2"/>
        </w:rPr>
      </w:pPr>
      <w:r>
        <w:rPr>
          <w:rFonts w:hint="eastAsia" w:ascii="宋体" w:hAnsi="宋体"/>
        </w:rPr>
        <w:t>首次参与政府采购项目投标的供应商，应在报名成功后最迟必须于开标前一日登录</w:t>
      </w:r>
      <w:r>
        <w:rPr>
          <w:rFonts w:hint="eastAsia" w:ascii="宋体" w:hAnsi="宋体"/>
          <w:lang w:eastAsia="zh-CN"/>
        </w:rPr>
        <w:t>中国政府采购网广东分网</w:t>
      </w:r>
      <w:r>
        <w:rPr>
          <w:rFonts w:hint="eastAsia" w:ascii="宋体" w:hAnsi="宋体"/>
        </w:rPr>
        <w:t>（办事指南链接：https://gdgpo.czt.gd.gov.cn/）进行注册。（注:已注册过账号的供应商请忽略此信息。）</w:t>
      </w:r>
    </w:p>
    <w:p w14:paraId="0D926CBE">
      <w:pPr>
        <w:snapToGrid w:val="0"/>
        <w:spacing w:beforeLines="50" w:afterLines="50" w:line="360" w:lineRule="auto"/>
        <w:jc w:val="both"/>
        <w:rPr>
          <w:rFonts w:ascii="黑体" w:hAnsi="华文中宋" w:eastAsia="黑体" w:cs="华文中宋"/>
          <w:sz w:val="30"/>
          <w:szCs w:val="30"/>
        </w:rPr>
        <w:sectPr>
          <w:headerReference r:id="rId4" w:type="first"/>
          <w:headerReference r:id="rId3" w:type="default"/>
          <w:footerReference r:id="rId5" w:type="default"/>
          <w:pgSz w:w="11907" w:h="16839"/>
          <w:pgMar w:top="1134" w:right="1134" w:bottom="1134" w:left="1134" w:header="680" w:footer="720" w:gutter="0"/>
          <w:pgNumType w:start="1"/>
          <w:cols w:space="720" w:num="1"/>
          <w:titlePg/>
          <w:docGrid w:linePitch="286" w:charSpace="0"/>
        </w:sectPr>
      </w:pPr>
    </w:p>
    <w:p w14:paraId="12DEE40B">
      <w:pPr>
        <w:snapToGrid w:val="0"/>
        <w:spacing w:line="360" w:lineRule="auto"/>
        <w:jc w:val="center"/>
        <w:rPr>
          <w:rFonts w:asciiTheme="majorEastAsia" w:hAnsiTheme="majorEastAsia" w:eastAsiaTheme="majorEastAsia" w:cstheme="majorEastAsia"/>
          <w:sz w:val="30"/>
          <w:szCs w:val="30"/>
        </w:rPr>
      </w:pPr>
      <w:r>
        <w:rPr>
          <w:rFonts w:hint="eastAsia" w:asciiTheme="majorEastAsia" w:hAnsiTheme="majorEastAsia" w:eastAsiaTheme="majorEastAsia" w:cstheme="majorEastAsia"/>
          <w:b/>
          <w:bCs/>
          <w:sz w:val="44"/>
          <w:szCs w:val="44"/>
          <w:lang w:eastAsia="zh-TW"/>
        </w:rPr>
        <w:t>目　　录</w:t>
      </w:r>
    </w:p>
    <w:p w14:paraId="09DA6CF5">
      <w:pPr>
        <w:pStyle w:val="9"/>
        <w:tabs>
          <w:tab w:val="right" w:leader="dot" w:pos="9180"/>
          <w:tab w:val="clear" w:pos="420"/>
          <w:tab w:val="clear" w:pos="8943"/>
        </w:tabs>
        <w:rPr>
          <w:rFonts w:ascii="黑体" w:hAnsi="黑体" w:eastAsia="黑体" w:cs="黑体"/>
          <w:sz w:val="24"/>
          <w:szCs w:val="24"/>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TOC \o "1-1" \h \z \u </w:instrText>
      </w:r>
      <w:r>
        <w:rPr>
          <w:rFonts w:hint="eastAsia" w:asciiTheme="majorEastAsia" w:hAnsiTheme="majorEastAsia" w:eastAsiaTheme="majorEastAsia" w:cstheme="majorEastAsia"/>
        </w:rPr>
        <w:fldChar w:fldCharType="separate"/>
      </w:r>
      <w:r>
        <w:fldChar w:fldCharType="begin"/>
      </w:r>
      <w:r>
        <w:instrText xml:space="preserve"> HYPERLINK \l "_Toc20619" </w:instrText>
      </w:r>
      <w:r>
        <w:fldChar w:fldCharType="separate"/>
      </w:r>
      <w:r>
        <w:rPr>
          <w:rFonts w:hint="eastAsia" w:ascii="黑体" w:hAnsi="黑体" w:eastAsia="黑体" w:cs="黑体"/>
          <w:bCs/>
          <w:kern w:val="2"/>
          <w:sz w:val="24"/>
          <w:szCs w:val="24"/>
        </w:rPr>
        <w:t>第一章  磋商邀请函</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_Toc20619 </w:instrText>
      </w:r>
      <w:r>
        <w:rPr>
          <w:rFonts w:hint="eastAsia" w:ascii="黑体" w:hAnsi="黑体" w:eastAsia="黑体" w:cs="黑体"/>
          <w:sz w:val="24"/>
          <w:szCs w:val="24"/>
        </w:rPr>
        <w:fldChar w:fldCharType="separate"/>
      </w:r>
      <w:r>
        <w:rPr>
          <w:rFonts w:hint="eastAsia" w:ascii="黑体" w:hAnsi="黑体" w:eastAsia="黑体" w:cs="黑体"/>
          <w:sz w:val="24"/>
          <w:szCs w:val="24"/>
        </w:rPr>
        <w:t>4</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36D314F3">
      <w:pPr>
        <w:pStyle w:val="9"/>
        <w:tabs>
          <w:tab w:val="right" w:leader="dot" w:pos="9180"/>
          <w:tab w:val="clear" w:pos="420"/>
          <w:tab w:val="clear" w:pos="8943"/>
        </w:tabs>
        <w:rPr>
          <w:rFonts w:ascii="黑体" w:hAnsi="黑体" w:eastAsia="黑体" w:cs="黑体"/>
          <w:sz w:val="24"/>
          <w:szCs w:val="24"/>
        </w:rPr>
      </w:pPr>
      <w:r>
        <w:fldChar w:fldCharType="begin"/>
      </w:r>
      <w:r>
        <w:instrText xml:space="preserve"> HYPERLINK \l "_Toc13243" </w:instrText>
      </w:r>
      <w:r>
        <w:fldChar w:fldCharType="separate"/>
      </w:r>
      <w:r>
        <w:rPr>
          <w:rFonts w:hint="eastAsia" w:ascii="黑体" w:hAnsi="黑体" w:eastAsia="黑体" w:cs="黑体"/>
          <w:bCs/>
          <w:sz w:val="24"/>
          <w:szCs w:val="24"/>
        </w:rPr>
        <w:t>第二章  磋商资料表</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_Toc13243 </w:instrText>
      </w:r>
      <w:r>
        <w:rPr>
          <w:rFonts w:hint="eastAsia" w:ascii="黑体" w:hAnsi="黑体" w:eastAsia="黑体" w:cs="黑体"/>
          <w:sz w:val="24"/>
          <w:szCs w:val="24"/>
        </w:rPr>
        <w:fldChar w:fldCharType="separate"/>
      </w:r>
      <w:r>
        <w:rPr>
          <w:rFonts w:hint="eastAsia" w:ascii="黑体" w:hAnsi="黑体" w:eastAsia="黑体" w:cs="黑体"/>
          <w:sz w:val="24"/>
          <w:szCs w:val="24"/>
        </w:rPr>
        <w:t>7</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53F3F3FC">
      <w:pPr>
        <w:pStyle w:val="9"/>
        <w:tabs>
          <w:tab w:val="right" w:leader="dot" w:pos="9180"/>
          <w:tab w:val="clear" w:pos="420"/>
          <w:tab w:val="clear" w:pos="8943"/>
        </w:tabs>
        <w:rPr>
          <w:rFonts w:ascii="黑体" w:hAnsi="黑体" w:eastAsia="黑体" w:cs="黑体"/>
          <w:sz w:val="24"/>
          <w:szCs w:val="24"/>
        </w:rPr>
      </w:pPr>
      <w:r>
        <w:fldChar w:fldCharType="begin"/>
      </w:r>
      <w:r>
        <w:instrText xml:space="preserve"> HYPERLINK \l "_Toc32277" </w:instrText>
      </w:r>
      <w:r>
        <w:fldChar w:fldCharType="separate"/>
      </w:r>
      <w:r>
        <w:rPr>
          <w:rFonts w:hint="eastAsia" w:ascii="黑体" w:hAnsi="黑体" w:eastAsia="黑体" w:cs="黑体"/>
          <w:bCs/>
          <w:sz w:val="24"/>
          <w:szCs w:val="24"/>
        </w:rPr>
        <w:t>第三章  评分体系与标准</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_Toc32277 </w:instrText>
      </w:r>
      <w:r>
        <w:rPr>
          <w:rFonts w:hint="eastAsia" w:ascii="黑体" w:hAnsi="黑体" w:eastAsia="黑体" w:cs="黑体"/>
          <w:sz w:val="24"/>
          <w:szCs w:val="24"/>
        </w:rPr>
        <w:fldChar w:fldCharType="separate"/>
      </w:r>
      <w:r>
        <w:rPr>
          <w:rFonts w:hint="eastAsia" w:ascii="黑体" w:hAnsi="黑体" w:eastAsia="黑体" w:cs="黑体"/>
          <w:sz w:val="24"/>
          <w:szCs w:val="24"/>
        </w:rPr>
        <w:t>9</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1A13C3A7">
      <w:pPr>
        <w:pStyle w:val="9"/>
        <w:tabs>
          <w:tab w:val="right" w:leader="dot" w:pos="9180"/>
          <w:tab w:val="clear" w:pos="420"/>
          <w:tab w:val="clear" w:pos="8943"/>
        </w:tabs>
        <w:rPr>
          <w:rFonts w:ascii="黑体" w:hAnsi="黑体" w:eastAsia="黑体" w:cs="黑体"/>
          <w:sz w:val="24"/>
          <w:szCs w:val="24"/>
        </w:rPr>
      </w:pPr>
      <w:r>
        <w:fldChar w:fldCharType="begin"/>
      </w:r>
      <w:r>
        <w:instrText xml:space="preserve"> HYPERLINK \l "_Toc17462" </w:instrText>
      </w:r>
      <w:r>
        <w:fldChar w:fldCharType="separate"/>
      </w:r>
      <w:r>
        <w:rPr>
          <w:rFonts w:hint="eastAsia" w:ascii="黑体" w:hAnsi="黑体" w:eastAsia="黑体" w:cs="黑体"/>
          <w:bCs/>
          <w:kern w:val="2"/>
          <w:sz w:val="24"/>
          <w:szCs w:val="24"/>
        </w:rPr>
        <w:t>资格、符合性评审</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_Toc17462 </w:instrText>
      </w:r>
      <w:r>
        <w:rPr>
          <w:rFonts w:hint="eastAsia" w:ascii="黑体" w:hAnsi="黑体" w:eastAsia="黑体" w:cs="黑体"/>
          <w:sz w:val="24"/>
          <w:szCs w:val="24"/>
        </w:rPr>
        <w:fldChar w:fldCharType="separate"/>
      </w:r>
      <w:r>
        <w:rPr>
          <w:rFonts w:hint="eastAsia" w:ascii="黑体" w:hAnsi="黑体" w:eastAsia="黑体" w:cs="黑体"/>
          <w:sz w:val="24"/>
          <w:szCs w:val="24"/>
        </w:rPr>
        <w:t>9</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0841B966">
      <w:pPr>
        <w:pStyle w:val="9"/>
        <w:tabs>
          <w:tab w:val="right" w:leader="dot" w:pos="9180"/>
          <w:tab w:val="clear" w:pos="420"/>
          <w:tab w:val="clear" w:pos="8943"/>
        </w:tabs>
        <w:rPr>
          <w:rFonts w:ascii="黑体" w:hAnsi="黑体" w:eastAsia="黑体" w:cs="黑体"/>
          <w:sz w:val="24"/>
          <w:szCs w:val="24"/>
        </w:rPr>
      </w:pPr>
      <w:r>
        <w:fldChar w:fldCharType="begin"/>
      </w:r>
      <w:r>
        <w:instrText xml:space="preserve"> HYPERLINK \l "_Toc16250" </w:instrText>
      </w:r>
      <w:r>
        <w:fldChar w:fldCharType="separate"/>
      </w:r>
      <w:r>
        <w:rPr>
          <w:rFonts w:hint="eastAsia" w:ascii="黑体" w:hAnsi="黑体" w:eastAsia="黑体" w:cs="黑体"/>
          <w:bCs/>
          <w:kern w:val="2"/>
          <w:sz w:val="24"/>
          <w:szCs w:val="24"/>
        </w:rPr>
        <w:t>价 格 扣 除</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_Toc16250 </w:instrText>
      </w:r>
      <w:r>
        <w:rPr>
          <w:rFonts w:hint="eastAsia" w:ascii="黑体" w:hAnsi="黑体" w:eastAsia="黑体" w:cs="黑体"/>
          <w:sz w:val="24"/>
          <w:szCs w:val="24"/>
        </w:rPr>
        <w:fldChar w:fldCharType="separate"/>
      </w:r>
      <w:r>
        <w:rPr>
          <w:rFonts w:hint="eastAsia" w:ascii="黑体" w:hAnsi="黑体" w:eastAsia="黑体" w:cs="黑体"/>
          <w:sz w:val="24"/>
          <w:szCs w:val="24"/>
        </w:rPr>
        <w:t>13</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1255717D">
      <w:pPr>
        <w:pStyle w:val="9"/>
        <w:tabs>
          <w:tab w:val="right" w:leader="dot" w:pos="9180"/>
          <w:tab w:val="clear" w:pos="420"/>
          <w:tab w:val="clear" w:pos="8943"/>
        </w:tabs>
        <w:rPr>
          <w:rFonts w:ascii="黑体" w:hAnsi="黑体" w:eastAsia="黑体" w:cs="黑体"/>
          <w:sz w:val="24"/>
          <w:szCs w:val="24"/>
        </w:rPr>
      </w:pPr>
      <w:r>
        <w:fldChar w:fldCharType="begin"/>
      </w:r>
      <w:r>
        <w:instrText xml:space="preserve"> HYPERLINK \l "_Toc27944" </w:instrText>
      </w:r>
      <w:r>
        <w:fldChar w:fldCharType="separate"/>
      </w:r>
      <w:r>
        <w:rPr>
          <w:rFonts w:hint="eastAsia" w:ascii="黑体" w:hAnsi="黑体" w:eastAsia="黑体" w:cs="黑体"/>
          <w:bCs/>
          <w:sz w:val="24"/>
          <w:szCs w:val="24"/>
        </w:rPr>
        <w:t>第四章  用户需求书</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_Toc27944 </w:instrText>
      </w:r>
      <w:r>
        <w:rPr>
          <w:rFonts w:hint="eastAsia" w:ascii="黑体" w:hAnsi="黑体" w:eastAsia="黑体" w:cs="黑体"/>
          <w:sz w:val="24"/>
          <w:szCs w:val="24"/>
        </w:rPr>
        <w:fldChar w:fldCharType="separate"/>
      </w:r>
      <w:r>
        <w:rPr>
          <w:rFonts w:hint="eastAsia" w:ascii="黑体" w:hAnsi="黑体" w:eastAsia="黑体" w:cs="黑体"/>
          <w:sz w:val="24"/>
          <w:szCs w:val="24"/>
        </w:rPr>
        <w:t>15</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624602C0">
      <w:pPr>
        <w:pStyle w:val="9"/>
        <w:tabs>
          <w:tab w:val="right" w:leader="dot" w:pos="9180"/>
          <w:tab w:val="clear" w:pos="420"/>
          <w:tab w:val="clear" w:pos="8943"/>
        </w:tabs>
        <w:rPr>
          <w:rFonts w:ascii="黑体" w:hAnsi="黑体" w:eastAsia="黑体" w:cs="黑体"/>
          <w:sz w:val="24"/>
          <w:szCs w:val="24"/>
        </w:rPr>
      </w:pPr>
      <w:r>
        <w:fldChar w:fldCharType="begin"/>
      </w:r>
      <w:r>
        <w:instrText xml:space="preserve"> HYPERLINK \l "_Toc11359" </w:instrText>
      </w:r>
      <w:r>
        <w:fldChar w:fldCharType="separate"/>
      </w:r>
      <w:r>
        <w:rPr>
          <w:rFonts w:hint="eastAsia" w:ascii="黑体" w:hAnsi="黑体" w:eastAsia="黑体" w:cs="黑体"/>
          <w:bCs/>
          <w:kern w:val="2"/>
          <w:sz w:val="24"/>
          <w:szCs w:val="24"/>
        </w:rPr>
        <w:t>第五章 合同通用条款</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_Toc11359 </w:instrText>
      </w:r>
      <w:r>
        <w:rPr>
          <w:rFonts w:hint="eastAsia" w:ascii="黑体" w:hAnsi="黑体" w:eastAsia="黑体" w:cs="黑体"/>
          <w:sz w:val="24"/>
          <w:szCs w:val="24"/>
        </w:rPr>
        <w:fldChar w:fldCharType="separate"/>
      </w:r>
      <w:r>
        <w:rPr>
          <w:rFonts w:hint="eastAsia" w:ascii="黑体" w:hAnsi="黑体" w:eastAsia="黑体" w:cs="黑体"/>
          <w:sz w:val="24"/>
          <w:szCs w:val="24"/>
        </w:rPr>
        <w:t>19</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714F15FF">
      <w:pPr>
        <w:pStyle w:val="9"/>
        <w:tabs>
          <w:tab w:val="right" w:leader="dot" w:pos="9180"/>
          <w:tab w:val="clear" w:pos="420"/>
          <w:tab w:val="clear" w:pos="8943"/>
        </w:tabs>
        <w:rPr>
          <w:rFonts w:ascii="黑体" w:hAnsi="黑体" w:eastAsia="黑体" w:cs="黑体"/>
          <w:sz w:val="24"/>
          <w:szCs w:val="24"/>
        </w:rPr>
      </w:pPr>
      <w:r>
        <w:fldChar w:fldCharType="begin"/>
      </w:r>
      <w:r>
        <w:instrText xml:space="preserve"> HYPERLINK \l "_Toc25059" </w:instrText>
      </w:r>
      <w:r>
        <w:fldChar w:fldCharType="separate"/>
      </w:r>
      <w:r>
        <w:rPr>
          <w:rFonts w:hint="eastAsia" w:ascii="黑体" w:hAnsi="黑体" w:eastAsia="黑体" w:cs="黑体"/>
          <w:bCs/>
          <w:sz w:val="24"/>
          <w:szCs w:val="24"/>
        </w:rPr>
        <w:t>第六章  响应文件格式</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_Toc25059 </w:instrText>
      </w:r>
      <w:r>
        <w:rPr>
          <w:rFonts w:hint="eastAsia" w:ascii="黑体" w:hAnsi="黑体" w:eastAsia="黑体" w:cs="黑体"/>
          <w:sz w:val="24"/>
          <w:szCs w:val="24"/>
        </w:rPr>
        <w:fldChar w:fldCharType="separate"/>
      </w:r>
      <w:r>
        <w:rPr>
          <w:rFonts w:hint="eastAsia" w:ascii="黑体" w:hAnsi="黑体" w:eastAsia="黑体" w:cs="黑体"/>
          <w:sz w:val="24"/>
          <w:szCs w:val="24"/>
        </w:rPr>
        <w:t>24</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2CD5EB6C">
      <w:pPr>
        <w:pStyle w:val="9"/>
        <w:tabs>
          <w:tab w:val="right" w:leader="dot" w:pos="9180"/>
          <w:tab w:val="clear" w:pos="420"/>
          <w:tab w:val="clear" w:pos="8943"/>
        </w:tabs>
      </w:pPr>
      <w:r>
        <w:fldChar w:fldCharType="begin"/>
      </w:r>
      <w:r>
        <w:instrText xml:space="preserve"> HYPERLINK \l "_Toc17420" </w:instrText>
      </w:r>
      <w:r>
        <w:fldChar w:fldCharType="separate"/>
      </w:r>
      <w:r>
        <w:rPr>
          <w:rFonts w:hint="eastAsia" w:ascii="黑体" w:hAnsi="黑体" w:eastAsia="黑体" w:cs="黑体"/>
          <w:bCs/>
          <w:sz w:val="24"/>
          <w:szCs w:val="24"/>
        </w:rPr>
        <w:t>第七章 磋 商 须 知</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_Toc17420 </w:instrText>
      </w:r>
      <w:r>
        <w:rPr>
          <w:rFonts w:hint="eastAsia" w:ascii="黑体" w:hAnsi="黑体" w:eastAsia="黑体" w:cs="黑体"/>
          <w:sz w:val="24"/>
          <w:szCs w:val="24"/>
        </w:rPr>
        <w:fldChar w:fldCharType="separate"/>
      </w:r>
      <w:r>
        <w:rPr>
          <w:rFonts w:hint="eastAsia" w:ascii="黑体" w:hAnsi="黑体" w:eastAsia="黑体" w:cs="黑体"/>
          <w:sz w:val="24"/>
          <w:szCs w:val="24"/>
        </w:rPr>
        <w:t>43</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12147C7A">
      <w:pPr>
        <w:rPr>
          <w:rFonts w:ascii="宋体" w:hAnsi="宋体"/>
        </w:rPr>
      </w:pPr>
      <w:r>
        <w:rPr>
          <w:rFonts w:hint="eastAsia" w:asciiTheme="majorEastAsia" w:hAnsiTheme="majorEastAsia" w:eastAsiaTheme="majorEastAsia" w:cstheme="majorEastAsia"/>
        </w:rPr>
        <w:fldChar w:fldCharType="end"/>
      </w:r>
    </w:p>
    <w:p w14:paraId="2A9F53B5">
      <w:pPr>
        <w:autoSpaceDE/>
        <w:autoSpaceDN/>
        <w:snapToGrid w:val="0"/>
        <w:spacing w:line="360" w:lineRule="auto"/>
        <w:jc w:val="center"/>
        <w:outlineLvl w:val="0"/>
        <w:rPr>
          <w:rFonts w:eastAsia="仿宋_GB2312"/>
          <w:b/>
          <w:bCs/>
          <w:sz w:val="28"/>
          <w:szCs w:val="28"/>
        </w:rPr>
      </w:pPr>
      <w:r>
        <w:rPr>
          <w:rFonts w:eastAsia="隶书" w:cs="隶书"/>
          <w:sz w:val="28"/>
          <w:szCs w:val="28"/>
        </w:rPr>
        <w:br w:type="page"/>
      </w:r>
      <w:bookmarkStart w:id="1" w:name="_Toc435614385"/>
      <w:bookmarkStart w:id="2" w:name="_Toc20619"/>
      <w:r>
        <w:rPr>
          <w:rFonts w:hint="eastAsia" w:ascii="仿宋_GB2312" w:eastAsia="仿宋_GB2312"/>
          <w:b/>
          <w:bCs/>
          <w:kern w:val="2"/>
          <w:sz w:val="28"/>
          <w:szCs w:val="28"/>
        </w:rPr>
        <w:t>第一</w:t>
      </w:r>
      <w:r>
        <w:rPr>
          <w:rFonts w:ascii="仿宋_GB2312" w:eastAsia="仿宋_GB2312"/>
          <w:b/>
          <w:bCs/>
          <w:kern w:val="2"/>
          <w:sz w:val="28"/>
          <w:szCs w:val="28"/>
        </w:rPr>
        <w:t xml:space="preserve">章  </w:t>
      </w:r>
      <w:r>
        <w:rPr>
          <w:rFonts w:hint="eastAsia" w:ascii="仿宋_GB2312" w:eastAsia="仿宋_GB2312"/>
          <w:b/>
          <w:bCs/>
          <w:kern w:val="2"/>
          <w:sz w:val="28"/>
          <w:szCs w:val="28"/>
        </w:rPr>
        <w:t>磋商邀请</w:t>
      </w:r>
      <w:bookmarkEnd w:id="1"/>
      <w:r>
        <w:rPr>
          <w:rFonts w:hint="eastAsia" w:ascii="仿宋_GB2312" w:eastAsia="仿宋_GB2312"/>
          <w:b/>
          <w:bCs/>
          <w:kern w:val="2"/>
          <w:sz w:val="28"/>
          <w:szCs w:val="28"/>
        </w:rPr>
        <w:t>函</w:t>
      </w:r>
      <w:bookmarkEnd w:id="2"/>
    </w:p>
    <w:p w14:paraId="3547A64A">
      <w:pPr>
        <w:snapToGrid w:val="0"/>
        <w:spacing w:line="360" w:lineRule="auto"/>
        <w:ind w:firstLine="420" w:firstLineChars="200"/>
        <w:rPr>
          <w:rFonts w:ascii="宋体" w:hAnsi="宋体"/>
          <w:bCs/>
        </w:rPr>
      </w:pPr>
      <w:r>
        <w:rPr>
          <w:rFonts w:hint="eastAsia" w:ascii="宋体" w:hAnsi="宋体"/>
        </w:rPr>
        <w:t>广东群升招标代理有限公司汕头分公司（</w:t>
      </w:r>
      <w:r>
        <w:rPr>
          <w:rFonts w:ascii="宋体" w:hAnsi="宋体"/>
        </w:rPr>
        <w:t>以下简称</w:t>
      </w:r>
      <w:r>
        <w:rPr>
          <w:rFonts w:hint="eastAsia" w:ascii="宋体" w:hAnsi="宋体"/>
        </w:rPr>
        <w:t>‘</w:t>
      </w:r>
      <w:r>
        <w:rPr>
          <w:rFonts w:ascii="宋体" w:hAnsi="宋体"/>
        </w:rPr>
        <w:t>采购代理机构</w:t>
      </w:r>
      <w:r>
        <w:rPr>
          <w:rFonts w:hint="eastAsia" w:ascii="宋体" w:hAnsi="宋体"/>
        </w:rPr>
        <w:t>’）</w:t>
      </w:r>
      <w:r>
        <w:rPr>
          <w:rFonts w:ascii="宋体" w:hAnsi="宋体"/>
        </w:rPr>
        <w:t>受</w:t>
      </w:r>
      <w:r>
        <w:rPr>
          <w:rFonts w:hint="eastAsia" w:ascii="宋体" w:hAnsi="宋体"/>
          <w:lang w:eastAsia="zh-CN"/>
        </w:rPr>
        <w:t>南澳县海防史博物馆</w:t>
      </w:r>
      <w:r>
        <w:rPr>
          <w:rFonts w:ascii="宋体" w:hAnsi="宋体"/>
          <w:bCs/>
        </w:rPr>
        <w:t>（以下简称</w:t>
      </w:r>
      <w:r>
        <w:rPr>
          <w:rFonts w:hint="eastAsia" w:ascii="宋体" w:hAnsi="宋体"/>
        </w:rPr>
        <w:t>‘</w:t>
      </w:r>
      <w:r>
        <w:rPr>
          <w:rFonts w:ascii="宋体" w:hAnsi="宋体"/>
          <w:bCs/>
        </w:rPr>
        <w:t>采购人</w:t>
      </w:r>
      <w:r>
        <w:rPr>
          <w:rFonts w:hint="eastAsia" w:ascii="宋体" w:hAnsi="宋体"/>
        </w:rPr>
        <w:t>’</w:t>
      </w:r>
      <w:r>
        <w:rPr>
          <w:rFonts w:ascii="宋体" w:hAnsi="宋体"/>
          <w:bCs/>
        </w:rPr>
        <w:t>）的委托</w:t>
      </w:r>
      <w:r>
        <w:rPr>
          <w:rFonts w:hint="eastAsia" w:ascii="宋体" w:hAnsi="宋体"/>
          <w:bCs/>
        </w:rPr>
        <w:t>，</w:t>
      </w:r>
      <w:r>
        <w:rPr>
          <w:rFonts w:hint="eastAsia" w:ascii="宋体" w:hAnsi="宋体"/>
          <w:bCs/>
          <w:lang w:val="zh-CN"/>
        </w:rPr>
        <w:t>拟对</w:t>
      </w:r>
      <w:r>
        <w:rPr>
          <w:rFonts w:hint="eastAsia" w:ascii="宋体" w:hAnsi="宋体"/>
          <w:bCs/>
          <w:lang w:eastAsia="zh-CN"/>
        </w:rPr>
        <w:t>南澳县博物馆消防维护修理及监控设备合并扩容项目</w:t>
      </w:r>
      <w:r>
        <w:rPr>
          <w:rFonts w:hint="eastAsia" w:ascii="宋体" w:hAnsi="宋体"/>
          <w:bCs/>
        </w:rPr>
        <w:t>进行竞争性磋商采购，欢迎符合资格条件的供应商参加。</w:t>
      </w:r>
    </w:p>
    <w:p w14:paraId="134FCF44">
      <w:pPr>
        <w:numPr>
          <w:ilvl w:val="0"/>
          <w:numId w:val="2"/>
        </w:numPr>
        <w:tabs>
          <w:tab w:val="left" w:pos="567"/>
          <w:tab w:val="clear" w:pos="1200"/>
        </w:tabs>
        <w:autoSpaceDE/>
        <w:autoSpaceDN/>
        <w:snapToGrid w:val="0"/>
        <w:spacing w:line="360" w:lineRule="auto"/>
        <w:ind w:left="567" w:hanging="567"/>
        <w:jc w:val="both"/>
        <w:rPr>
          <w:rFonts w:ascii="宋体"/>
          <w:bCs/>
        </w:rPr>
      </w:pPr>
      <w:r>
        <w:rPr>
          <w:rFonts w:hint="eastAsia" w:ascii="宋体"/>
          <w:bCs/>
        </w:rPr>
        <w:t>采购项目编号：</w:t>
      </w:r>
      <w:r>
        <w:rPr>
          <w:rFonts w:hint="eastAsia" w:ascii="宋体"/>
          <w:bCs/>
          <w:lang w:eastAsia="zh-CN"/>
        </w:rPr>
        <w:t>GDQSST2024JC12002S</w:t>
      </w:r>
    </w:p>
    <w:p w14:paraId="7E29A7E8">
      <w:pPr>
        <w:numPr>
          <w:ilvl w:val="0"/>
          <w:numId w:val="2"/>
        </w:numPr>
        <w:tabs>
          <w:tab w:val="left" w:pos="567"/>
          <w:tab w:val="clear" w:pos="1200"/>
        </w:tabs>
        <w:autoSpaceDE/>
        <w:autoSpaceDN/>
        <w:snapToGrid w:val="0"/>
        <w:spacing w:line="360" w:lineRule="auto"/>
        <w:ind w:left="426" w:hanging="426"/>
        <w:jc w:val="both"/>
        <w:rPr>
          <w:rFonts w:ascii="宋体"/>
          <w:bCs/>
        </w:rPr>
      </w:pPr>
      <w:r>
        <w:rPr>
          <w:rFonts w:hint="eastAsia" w:ascii="宋体"/>
          <w:bCs/>
        </w:rPr>
        <w:t>采购项目名称：</w:t>
      </w:r>
      <w:r>
        <w:rPr>
          <w:rFonts w:hint="eastAsia" w:ascii="宋体" w:hAnsi="宋体"/>
          <w:bCs/>
          <w:lang w:val="en-US" w:eastAsia="zh-CN"/>
        </w:rPr>
        <w:t xml:space="preserve">南澳县博物馆消防维护修理及监控设备合并扩容项目                          </w:t>
      </w:r>
    </w:p>
    <w:p w14:paraId="79BEE417">
      <w:pPr>
        <w:numPr>
          <w:ilvl w:val="0"/>
          <w:numId w:val="2"/>
        </w:numPr>
        <w:tabs>
          <w:tab w:val="left" w:pos="567"/>
          <w:tab w:val="clear" w:pos="1200"/>
        </w:tabs>
        <w:autoSpaceDE/>
        <w:autoSpaceDN/>
        <w:snapToGrid w:val="0"/>
        <w:spacing w:line="360" w:lineRule="auto"/>
        <w:ind w:left="426" w:hanging="426"/>
        <w:jc w:val="both"/>
        <w:rPr>
          <w:rFonts w:hint="eastAsia" w:ascii="宋体"/>
          <w:bCs/>
          <w:lang w:val="en-US" w:eastAsia="zh-CN"/>
        </w:rPr>
      </w:pPr>
      <w:r>
        <w:rPr>
          <w:rFonts w:hint="eastAsia" w:ascii="宋体"/>
          <w:bCs/>
        </w:rPr>
        <w:t>采购项目预算金额（元）：</w:t>
      </w:r>
      <w:r>
        <w:rPr>
          <w:rFonts w:hint="eastAsia" w:ascii="宋体"/>
          <w:bCs/>
          <w:lang w:val="en-US" w:eastAsia="zh-CN"/>
        </w:rPr>
        <w:t>276,669.28元（其中绿色施工安全防护措施费：10,862.96元，暂估价113,180.00元）。</w:t>
      </w:r>
    </w:p>
    <w:p w14:paraId="54D91544">
      <w:pPr>
        <w:numPr>
          <w:ilvl w:val="0"/>
          <w:numId w:val="2"/>
        </w:numPr>
        <w:tabs>
          <w:tab w:val="left" w:pos="567"/>
          <w:tab w:val="clear" w:pos="1200"/>
        </w:tabs>
        <w:autoSpaceDE/>
        <w:autoSpaceDN/>
        <w:snapToGrid w:val="0"/>
        <w:spacing w:line="360" w:lineRule="auto"/>
        <w:ind w:left="426" w:hanging="426"/>
        <w:jc w:val="both"/>
        <w:rPr>
          <w:rFonts w:ascii="宋体"/>
          <w:bCs/>
        </w:rPr>
      </w:pPr>
      <w:r>
        <w:rPr>
          <w:rFonts w:hint="eastAsia" w:ascii="宋体"/>
          <w:bCs/>
        </w:rPr>
        <w:t>采购数量 ：1项</w:t>
      </w:r>
    </w:p>
    <w:p w14:paraId="11079A85">
      <w:pPr>
        <w:numPr>
          <w:ilvl w:val="0"/>
          <w:numId w:val="2"/>
        </w:numPr>
        <w:tabs>
          <w:tab w:val="left" w:pos="567"/>
          <w:tab w:val="clear" w:pos="1200"/>
        </w:tabs>
        <w:autoSpaceDE/>
        <w:autoSpaceDN/>
        <w:snapToGrid w:val="0"/>
        <w:spacing w:line="360" w:lineRule="auto"/>
        <w:ind w:left="426" w:hanging="426"/>
        <w:jc w:val="both"/>
        <w:rPr>
          <w:rFonts w:ascii="宋体"/>
          <w:bCs/>
        </w:rPr>
      </w:pPr>
      <w:r>
        <w:rPr>
          <w:rFonts w:hint="eastAsia" w:ascii="宋体"/>
          <w:bCs/>
        </w:rPr>
        <w:t>项目内容及需求(采购项目技术规格、参数及要求，需要落实的政府采购政策) ：</w:t>
      </w:r>
    </w:p>
    <w:p w14:paraId="5A683D78">
      <w:pPr>
        <w:numPr>
          <w:ilvl w:val="1"/>
          <w:numId w:val="3"/>
        </w:numPr>
        <w:autoSpaceDE/>
        <w:autoSpaceDN/>
        <w:snapToGrid w:val="0"/>
        <w:spacing w:line="360" w:lineRule="auto"/>
        <w:jc w:val="both"/>
        <w:rPr>
          <w:rFonts w:ascii="宋体"/>
          <w:bCs/>
        </w:rPr>
      </w:pPr>
      <w:r>
        <w:rPr>
          <w:rFonts w:hint="eastAsia" w:ascii="宋体"/>
          <w:bCs/>
        </w:rPr>
        <w:t>采购项目内容及最高限价：</w:t>
      </w:r>
      <w:r>
        <w:rPr>
          <w:rFonts w:hint="eastAsia" w:ascii="宋体" w:hAnsi="宋体"/>
          <w:bCs/>
          <w:lang w:eastAsia="zh-CN"/>
        </w:rPr>
        <w:t>南澳县博物馆消防维护修理及监控设备合并扩容项目</w:t>
      </w:r>
      <w:r>
        <w:rPr>
          <w:rFonts w:hint="eastAsia" w:ascii="宋体"/>
          <w:bCs/>
        </w:rPr>
        <w:t>；</w:t>
      </w:r>
      <w:r>
        <w:rPr>
          <w:rFonts w:hint="eastAsia" w:ascii="宋体"/>
          <w:bCs/>
          <w:lang w:val="en-US" w:eastAsia="zh-CN"/>
        </w:rPr>
        <w:t>276,669.28</w:t>
      </w:r>
      <w:r>
        <w:rPr>
          <w:rFonts w:hint="eastAsia" w:ascii="宋体"/>
          <w:bCs/>
        </w:rPr>
        <w:t>元</w:t>
      </w:r>
      <w:r>
        <w:rPr>
          <w:rFonts w:hint="eastAsia" w:ascii="宋体"/>
          <w:bCs/>
          <w:lang w:eastAsia="zh-CN"/>
        </w:rPr>
        <w:t>；</w:t>
      </w:r>
    </w:p>
    <w:p w14:paraId="03E2389A">
      <w:pPr>
        <w:numPr>
          <w:ilvl w:val="1"/>
          <w:numId w:val="3"/>
        </w:numPr>
        <w:autoSpaceDE/>
        <w:autoSpaceDN/>
        <w:snapToGrid w:val="0"/>
        <w:spacing w:line="360" w:lineRule="auto"/>
        <w:jc w:val="both"/>
        <w:rPr>
          <w:rFonts w:ascii="宋体"/>
          <w:bCs/>
        </w:rPr>
      </w:pPr>
      <w:r>
        <w:rPr>
          <w:rFonts w:hint="eastAsia" w:ascii="宋体"/>
          <w:bCs/>
        </w:rPr>
        <w:t>项目编号：</w:t>
      </w:r>
      <w:r>
        <w:rPr>
          <w:rFonts w:hint="eastAsia" w:ascii="宋体"/>
          <w:bCs/>
          <w:lang w:eastAsia="zh-CN"/>
        </w:rPr>
        <w:t>GDQSST2024JC12002S</w:t>
      </w:r>
    </w:p>
    <w:p w14:paraId="1A49D286">
      <w:pPr>
        <w:numPr>
          <w:ilvl w:val="1"/>
          <w:numId w:val="3"/>
        </w:numPr>
        <w:autoSpaceDE/>
        <w:autoSpaceDN/>
        <w:snapToGrid w:val="0"/>
        <w:spacing w:line="360" w:lineRule="auto"/>
        <w:jc w:val="both"/>
      </w:pPr>
      <w:r>
        <w:rPr>
          <w:rFonts w:hint="eastAsia" w:ascii="宋体"/>
          <w:bCs/>
        </w:rPr>
        <w:t>采购项目品目：</w:t>
      </w:r>
      <w:r>
        <w:rPr>
          <w:rFonts w:hint="eastAsia" w:ascii="宋体"/>
          <w:bCs/>
          <w:lang w:eastAsia="zh-CN"/>
        </w:rPr>
        <w:t>其它工程</w:t>
      </w:r>
    </w:p>
    <w:p w14:paraId="64E3A297">
      <w:pPr>
        <w:numPr>
          <w:ilvl w:val="1"/>
          <w:numId w:val="3"/>
        </w:numPr>
        <w:autoSpaceDE/>
        <w:autoSpaceDN/>
        <w:snapToGrid w:val="0"/>
        <w:spacing w:line="360" w:lineRule="auto"/>
        <w:jc w:val="both"/>
        <w:rPr>
          <w:rFonts w:hint="eastAsia" w:ascii="宋体" w:hAnsi="Times New Roman" w:cs="Times New Roman"/>
          <w:bCs/>
          <w:szCs w:val="20"/>
          <w:highlight w:val="none"/>
        </w:rPr>
      </w:pPr>
      <w:r>
        <w:rPr>
          <w:rFonts w:hint="eastAsia" w:ascii="宋体"/>
          <w:bCs/>
        </w:rPr>
        <w:t>项目基本概况介绍：主要内容为加设监控设备、铺设光纤监控专用管线以及原消防设备维护修理</w:t>
      </w:r>
    </w:p>
    <w:p w14:paraId="7FA4572E">
      <w:pPr>
        <w:numPr>
          <w:ilvl w:val="0"/>
          <w:numId w:val="0"/>
        </w:numPr>
        <w:autoSpaceDE/>
        <w:autoSpaceDN/>
        <w:snapToGrid w:val="0"/>
        <w:spacing w:line="360" w:lineRule="auto"/>
        <w:ind w:firstLine="420" w:firstLineChars="200"/>
        <w:jc w:val="both"/>
        <w:rPr>
          <w:rFonts w:hint="eastAsia" w:ascii="宋体" w:hAnsi="Times New Roman" w:cs="Times New Roman"/>
          <w:bCs/>
          <w:szCs w:val="20"/>
          <w:highlight w:val="none"/>
        </w:rPr>
      </w:pPr>
      <w:r>
        <w:rPr>
          <w:rFonts w:hint="eastAsia" w:ascii="宋体"/>
          <w:bCs/>
        </w:rPr>
        <w:t>等建设内容</w:t>
      </w:r>
      <w:r>
        <w:rPr>
          <w:rFonts w:hint="eastAsia" w:ascii="宋体"/>
          <w:bCs/>
          <w:lang w:val="en-US" w:eastAsia="zh-CN"/>
        </w:rPr>
        <w:t>，内容详见项目预算报告书及施工图纸。</w:t>
      </w:r>
    </w:p>
    <w:p w14:paraId="0ABE55B0">
      <w:pPr>
        <w:numPr>
          <w:ilvl w:val="1"/>
          <w:numId w:val="3"/>
        </w:numPr>
        <w:autoSpaceDE/>
        <w:autoSpaceDN/>
        <w:snapToGrid w:val="0"/>
        <w:spacing w:line="360" w:lineRule="auto"/>
        <w:jc w:val="both"/>
        <w:rPr>
          <w:rFonts w:hint="eastAsia" w:ascii="宋体" w:hAnsi="Times New Roman" w:cs="Times New Roman"/>
          <w:bCs/>
          <w:szCs w:val="20"/>
          <w:highlight w:val="none"/>
        </w:rPr>
      </w:pPr>
      <w:r>
        <w:rPr>
          <w:rFonts w:hint="eastAsia" w:ascii="宋体" w:hAnsi="Times New Roman" w:cs="Times New Roman"/>
          <w:bCs/>
          <w:szCs w:val="20"/>
          <w:highlight w:val="none"/>
        </w:rPr>
        <w:t>详细技术参数及执行标准等详见竞争性磋商文件中的“用户需求书”。</w:t>
      </w:r>
    </w:p>
    <w:p w14:paraId="088581DA">
      <w:pPr>
        <w:numPr>
          <w:ilvl w:val="1"/>
          <w:numId w:val="3"/>
        </w:numPr>
        <w:autoSpaceDE/>
        <w:autoSpaceDN/>
        <w:snapToGrid w:val="0"/>
        <w:spacing w:line="360" w:lineRule="auto"/>
        <w:jc w:val="both"/>
        <w:rPr>
          <w:rFonts w:hint="eastAsia" w:ascii="宋体" w:hAnsi="Times New Roman" w:cs="Times New Roman"/>
          <w:bCs/>
          <w:szCs w:val="20"/>
          <w:highlight w:val="none"/>
        </w:rPr>
      </w:pPr>
      <w:r>
        <w:rPr>
          <w:rFonts w:hint="eastAsia" w:ascii="宋体" w:hAnsi="Times New Roman" w:cs="Times New Roman"/>
          <w:bCs/>
          <w:szCs w:val="20"/>
          <w:highlight w:val="none"/>
        </w:rPr>
        <w:t>需要落实的政府采购政策：关于印发《政府采购促进中小企业发展管理办法》的通知（财库</w:t>
      </w:r>
    </w:p>
    <w:p w14:paraId="00532C12">
      <w:pPr>
        <w:numPr>
          <w:ilvl w:val="0"/>
          <w:numId w:val="0"/>
        </w:numPr>
        <w:autoSpaceDE/>
        <w:autoSpaceDN/>
        <w:snapToGrid w:val="0"/>
        <w:spacing w:line="360" w:lineRule="auto"/>
        <w:ind w:leftChars="0"/>
        <w:jc w:val="both"/>
        <w:rPr>
          <w:rFonts w:hint="eastAsia" w:ascii="宋体" w:hAnsi="Times New Roman" w:cs="Times New Roman"/>
          <w:bCs/>
          <w:szCs w:val="20"/>
          <w:highlight w:val="none"/>
        </w:rPr>
      </w:pPr>
      <w:r>
        <w:rPr>
          <w:rFonts w:hint="eastAsia" w:ascii="宋体" w:hAnsi="Times New Roman" w:cs="Times New Roman"/>
          <w:bCs/>
          <w:szCs w:val="20"/>
          <w:highlight w:val="none"/>
        </w:rPr>
        <w:t>[2020]46号）</w:t>
      </w:r>
      <w:r>
        <w:rPr>
          <w:rFonts w:hint="eastAsia" w:ascii="宋体" w:hAnsi="Times New Roman" w:cs="Times New Roman"/>
          <w:bCs/>
          <w:szCs w:val="20"/>
          <w:highlight w:val="none"/>
          <w:lang w:eastAsia="zh-CN"/>
        </w:rPr>
        <w:t>、</w:t>
      </w:r>
      <w:r>
        <w:rPr>
          <w:rFonts w:hint="eastAsia" w:ascii="宋体" w:hAnsi="Times New Roman" w:cs="Times New Roman"/>
          <w:bCs/>
          <w:szCs w:val="20"/>
          <w:highlight w:val="none"/>
        </w:rPr>
        <w:t>《关于政府采购支持监狱企业发展有关问题的通知》(财库〔2014〕68号)</w:t>
      </w:r>
      <w:r>
        <w:rPr>
          <w:rFonts w:hint="eastAsia" w:ascii="宋体" w:hAnsi="Times New Roman" w:cs="Times New Roman"/>
          <w:bCs/>
          <w:szCs w:val="20"/>
          <w:highlight w:val="none"/>
          <w:lang w:eastAsia="zh-CN"/>
        </w:rPr>
        <w:t>、</w:t>
      </w:r>
      <w:r>
        <w:rPr>
          <w:rFonts w:hint="eastAsia" w:ascii="宋体" w:hAnsi="Times New Roman" w:cs="Times New Roman"/>
          <w:bCs/>
          <w:szCs w:val="20"/>
          <w:highlight w:val="none"/>
        </w:rPr>
        <w:t>《关于促进残疾人就业政府采购政策的通知》（财库〔2017〕141号)</w:t>
      </w:r>
      <w:r>
        <w:rPr>
          <w:rFonts w:hint="eastAsia" w:ascii="宋体" w:hAnsi="Times New Roman" w:cs="Times New Roman"/>
          <w:bCs/>
          <w:szCs w:val="20"/>
          <w:highlight w:val="none"/>
          <w:lang w:eastAsia="zh-CN"/>
        </w:rPr>
        <w:t>、</w:t>
      </w:r>
      <w:r>
        <w:rPr>
          <w:rFonts w:hint="eastAsia" w:ascii="宋体" w:hAnsi="Times New Roman" w:cs="Times New Roman"/>
          <w:bCs/>
          <w:szCs w:val="20"/>
          <w:highlight w:val="none"/>
        </w:rPr>
        <w:t>《关于环境标志产品政府采购实施的意见》(财库〔2006〕90号）</w:t>
      </w:r>
      <w:r>
        <w:rPr>
          <w:rFonts w:hint="eastAsia" w:ascii="宋体" w:hAnsi="Times New Roman" w:cs="Times New Roman"/>
          <w:bCs/>
          <w:szCs w:val="20"/>
          <w:highlight w:val="none"/>
          <w:lang w:eastAsia="zh-CN"/>
        </w:rPr>
        <w:t>、</w:t>
      </w:r>
      <w:r>
        <w:rPr>
          <w:rFonts w:hint="eastAsia" w:ascii="宋体" w:hAnsi="Times New Roman" w:cs="Times New Roman"/>
          <w:bCs/>
          <w:szCs w:val="20"/>
          <w:highlight w:val="none"/>
        </w:rPr>
        <w:t>《节能产品政府采购实施意见》的通知（财库〔2004〕185号）</w:t>
      </w:r>
      <w:r>
        <w:rPr>
          <w:rFonts w:hint="eastAsia" w:ascii="宋体" w:hAnsi="Times New Roman" w:cs="Times New Roman"/>
          <w:bCs/>
          <w:szCs w:val="20"/>
          <w:highlight w:val="none"/>
          <w:lang w:eastAsia="zh-CN"/>
        </w:rPr>
        <w:t>、</w:t>
      </w:r>
      <w:r>
        <w:rPr>
          <w:rFonts w:hint="eastAsia" w:ascii="宋体" w:hAnsi="Times New Roman" w:cs="Times New Roman"/>
          <w:bCs/>
          <w:szCs w:val="20"/>
          <w:highlight w:val="none"/>
        </w:rPr>
        <w:t>《关于调整优化节能产品环境标志产品政府采购执行机制的通知》（财库[2019]9号、粤财采购[2019]1号）。</w:t>
      </w:r>
    </w:p>
    <w:p w14:paraId="174E4CAE">
      <w:pPr>
        <w:numPr>
          <w:ilvl w:val="1"/>
          <w:numId w:val="3"/>
        </w:numPr>
        <w:autoSpaceDE/>
        <w:autoSpaceDN/>
        <w:snapToGrid w:val="0"/>
        <w:spacing w:line="360" w:lineRule="auto"/>
        <w:jc w:val="both"/>
        <w:rPr>
          <w:rFonts w:hint="default" w:ascii="宋体" w:hAnsi="Times New Roman" w:cs="Times New Roman"/>
          <w:bCs/>
          <w:szCs w:val="20"/>
          <w:highlight w:val="none"/>
          <w:lang w:val="en-US" w:eastAsia="zh-CN"/>
        </w:rPr>
      </w:pPr>
      <w:r>
        <w:rPr>
          <w:rFonts w:hint="eastAsia" w:ascii="宋体" w:hAnsi="Times New Roman" w:cs="Times New Roman"/>
          <w:bCs/>
          <w:szCs w:val="20"/>
          <w:highlight w:val="none"/>
        </w:rPr>
        <w:t>本项目为专门面向中小企业采购的项目。响应供应商应为中小微企业、监狱企业、残疾人福利性单位。（提供《中小企业声明函》或属于监狱企业的证明材料或《残疾人福利性单位声明函》）</w:t>
      </w:r>
    </w:p>
    <w:p w14:paraId="5333DCE6">
      <w:pPr>
        <w:numPr>
          <w:ilvl w:val="0"/>
          <w:numId w:val="2"/>
        </w:numPr>
        <w:tabs>
          <w:tab w:val="left" w:pos="567"/>
          <w:tab w:val="clear" w:pos="1200"/>
        </w:tabs>
        <w:autoSpaceDE/>
        <w:autoSpaceDN/>
        <w:snapToGrid w:val="0"/>
        <w:spacing w:line="360" w:lineRule="auto"/>
        <w:ind w:left="426" w:hanging="426"/>
        <w:jc w:val="both"/>
        <w:rPr>
          <w:rFonts w:ascii="宋体"/>
          <w:bCs/>
        </w:rPr>
      </w:pPr>
      <w:r>
        <w:rPr>
          <w:rFonts w:hint="eastAsia" w:ascii="宋体"/>
          <w:bCs/>
        </w:rPr>
        <w:t>供应商资格：</w:t>
      </w:r>
    </w:p>
    <w:p w14:paraId="110F169B">
      <w:pPr>
        <w:numPr>
          <w:ilvl w:val="0"/>
          <w:numId w:val="4"/>
        </w:numPr>
        <w:autoSpaceDE/>
        <w:autoSpaceDN/>
        <w:snapToGrid w:val="0"/>
        <w:spacing w:line="360" w:lineRule="auto"/>
        <w:jc w:val="both"/>
        <w:rPr>
          <w:rFonts w:ascii="宋体" w:hAnsi="宋体"/>
          <w:bCs/>
          <w:szCs w:val="20"/>
        </w:rPr>
      </w:pPr>
      <w:r>
        <w:rPr>
          <w:rFonts w:hint="eastAsia" w:ascii="宋体" w:hAnsi="宋体"/>
          <w:bCs/>
          <w:szCs w:val="20"/>
        </w:rPr>
        <w:t>供应商应具备《</w:t>
      </w:r>
      <w:r>
        <w:rPr>
          <w:rFonts w:hint="eastAsia" w:ascii="宋体" w:hAnsi="宋体"/>
          <w:bCs/>
          <w:kern w:val="2"/>
        </w:rPr>
        <w:t>中华人民共和国</w:t>
      </w:r>
      <w:r>
        <w:rPr>
          <w:rFonts w:hint="eastAsia" w:ascii="宋体" w:hAnsi="宋体"/>
          <w:bCs/>
          <w:szCs w:val="20"/>
        </w:rPr>
        <w:t>政府采购法》第二十二条规定的条件；提供以下材料：</w:t>
      </w:r>
    </w:p>
    <w:p w14:paraId="031AD374">
      <w:pPr>
        <w:pStyle w:val="20"/>
        <w:numPr>
          <w:ilvl w:val="1"/>
          <w:numId w:val="5"/>
        </w:numPr>
        <w:tabs>
          <w:tab w:val="left" w:pos="567"/>
        </w:tabs>
        <w:snapToGrid w:val="0"/>
        <w:spacing w:line="360" w:lineRule="auto"/>
        <w:ind w:left="567" w:hanging="567" w:firstLineChars="0"/>
        <w:rPr>
          <w:rFonts w:asciiTheme="minorEastAsia" w:hAnsiTheme="minorEastAsia" w:eastAsiaTheme="minorEastAsia"/>
          <w:sz w:val="21"/>
          <w:szCs w:val="21"/>
          <w:highlight w:val="none"/>
        </w:rPr>
      </w:pPr>
      <w:r>
        <w:rPr>
          <w:rFonts w:hint="eastAsia" w:asciiTheme="minorEastAsia" w:hAnsiTheme="minorEastAsia" w:eastAsiaTheme="minorEastAsia"/>
          <w:sz w:val="21"/>
          <w:szCs w:val="21"/>
        </w:rPr>
        <w:t>提供在中华人民共和国境内注册的法人或其他组织的营业执照（或事业单位法人证书，或社会团体法人登记证书）、组织机构代码证、税务登记证【如已办理了多证合一，则仅需提供合证后的营业执照】，如供应商为自然人的需提供自然人身份证明；（如供应商为分支机构，须取得具有法人资格的总公司（总所）出具给分支机构的授权书，并提供总公司（总所）和分支机构的营业执照（执业许可证）复印件。已由总公司（总所）授权的，总公司（总所）取得的相</w:t>
      </w:r>
      <w:r>
        <w:rPr>
          <w:rFonts w:hint="eastAsia" w:asciiTheme="minorEastAsia" w:hAnsiTheme="minorEastAsia" w:eastAsiaTheme="minorEastAsia"/>
          <w:sz w:val="21"/>
          <w:szCs w:val="21"/>
          <w:highlight w:val="none"/>
        </w:rPr>
        <w:t>关资质证书对分支机构有效，法律法规或者行业另有规定的除外。）</w:t>
      </w:r>
    </w:p>
    <w:p w14:paraId="1D723F8D">
      <w:pPr>
        <w:pStyle w:val="20"/>
        <w:numPr>
          <w:ilvl w:val="1"/>
          <w:numId w:val="5"/>
        </w:numPr>
        <w:tabs>
          <w:tab w:val="left" w:pos="567"/>
        </w:tabs>
        <w:snapToGrid w:val="0"/>
        <w:spacing w:line="360" w:lineRule="auto"/>
        <w:ind w:left="567" w:hanging="567" w:firstLineChars="0"/>
        <w:rPr>
          <w:rFonts w:asciiTheme="minorEastAsia" w:hAnsiTheme="minorEastAsia" w:eastAsiaTheme="minorEastAsia"/>
          <w:sz w:val="21"/>
          <w:szCs w:val="21"/>
          <w:highlight w:val="none"/>
        </w:rPr>
      </w:pPr>
      <w:r>
        <w:rPr>
          <w:rFonts w:hint="eastAsia" w:asciiTheme="minorEastAsia" w:hAnsiTheme="minorEastAsia" w:eastAsiaTheme="minorEastAsia"/>
          <w:sz w:val="21"/>
          <w:szCs w:val="21"/>
          <w:highlight w:val="none"/>
        </w:rPr>
        <w:t>提供</w:t>
      </w:r>
      <w:r>
        <w:rPr>
          <w:rFonts w:hint="eastAsia" w:asciiTheme="minorEastAsia" w:hAnsiTheme="minorEastAsia" w:eastAsiaTheme="minorEastAsia"/>
          <w:sz w:val="21"/>
          <w:szCs w:val="21"/>
          <w:highlight w:val="none"/>
          <w:lang w:val="en-US" w:eastAsia="zh-CN"/>
        </w:rPr>
        <w:t>2023年度</w:t>
      </w:r>
      <w:r>
        <w:rPr>
          <w:rFonts w:hint="eastAsia" w:asciiTheme="minorEastAsia" w:hAnsiTheme="minorEastAsia" w:eastAsiaTheme="minorEastAsia"/>
          <w:sz w:val="21"/>
          <w:szCs w:val="21"/>
          <w:highlight w:val="none"/>
        </w:rPr>
        <w:t>财务状况报告或财务报表或近期银行出具的资信证明（202</w:t>
      </w:r>
      <w:r>
        <w:rPr>
          <w:rFonts w:hint="eastAsia" w:asciiTheme="minorEastAsia" w:hAnsiTheme="minorEastAsia" w:eastAsiaTheme="minorEastAsia"/>
          <w:sz w:val="21"/>
          <w:szCs w:val="21"/>
          <w:highlight w:val="none"/>
          <w:lang w:val="en-US" w:eastAsia="zh-CN"/>
        </w:rPr>
        <w:t>4</w:t>
      </w:r>
      <w:r>
        <w:rPr>
          <w:rFonts w:hint="eastAsia" w:asciiTheme="minorEastAsia" w:hAnsiTheme="minorEastAsia" w:eastAsiaTheme="minorEastAsia"/>
          <w:sz w:val="21"/>
          <w:szCs w:val="21"/>
          <w:highlight w:val="none"/>
        </w:rPr>
        <w:t>年1月1日之后成立的单位只须提供成立至今的财务报表或基本户银行出具的近期资信证明）材料复印件</w:t>
      </w:r>
      <w:r>
        <w:rPr>
          <w:rFonts w:hint="eastAsia" w:asciiTheme="minorEastAsia" w:hAnsiTheme="minorEastAsia" w:eastAsiaTheme="minorEastAsia"/>
          <w:sz w:val="21"/>
          <w:szCs w:val="21"/>
          <w:highlight w:val="none"/>
          <w:lang w:val="en-US" w:eastAsia="zh-CN"/>
        </w:rPr>
        <w:t>(或提供汕头市政府采购供应商信用承诺函)</w:t>
      </w:r>
      <w:r>
        <w:rPr>
          <w:rFonts w:hint="eastAsia" w:asciiTheme="minorEastAsia" w:hAnsiTheme="minorEastAsia" w:eastAsiaTheme="minorEastAsia"/>
          <w:sz w:val="21"/>
          <w:szCs w:val="21"/>
          <w:highlight w:val="none"/>
        </w:rPr>
        <w:t>；</w:t>
      </w:r>
    </w:p>
    <w:p w14:paraId="2066467F">
      <w:pPr>
        <w:pStyle w:val="20"/>
        <w:numPr>
          <w:ilvl w:val="1"/>
          <w:numId w:val="5"/>
        </w:numPr>
        <w:tabs>
          <w:tab w:val="left" w:pos="567"/>
        </w:tabs>
        <w:snapToGrid w:val="0"/>
        <w:spacing w:line="360" w:lineRule="auto"/>
        <w:ind w:left="567" w:hanging="567" w:firstLineChars="0"/>
        <w:rPr>
          <w:rFonts w:asciiTheme="minorEastAsia" w:hAnsiTheme="minorEastAsia" w:eastAsiaTheme="minorEastAsia"/>
          <w:sz w:val="21"/>
          <w:szCs w:val="21"/>
        </w:rPr>
      </w:pPr>
      <w:r>
        <w:rPr>
          <w:rFonts w:hint="eastAsia" w:asciiTheme="minorEastAsia" w:hAnsiTheme="minorEastAsia" w:eastAsiaTheme="minorEastAsia"/>
          <w:sz w:val="21"/>
          <w:szCs w:val="21"/>
        </w:rPr>
        <w:t>提供近半年来任一个月依法缴纳税收和社会保障资金的证明材料复印件；如依法免税或不需要缴纳社会保障资金的，应提供相关材料</w:t>
      </w:r>
      <w:r>
        <w:rPr>
          <w:rFonts w:hint="eastAsia" w:asciiTheme="minorEastAsia" w:hAnsiTheme="minorEastAsia" w:eastAsiaTheme="minorEastAsia"/>
          <w:sz w:val="21"/>
          <w:szCs w:val="21"/>
          <w:highlight w:val="none"/>
          <w:lang w:val="en-US" w:eastAsia="zh-CN"/>
        </w:rPr>
        <w:t>(或提供汕头市政府采购供应商信用承诺函)</w:t>
      </w:r>
      <w:r>
        <w:rPr>
          <w:rFonts w:hint="eastAsia" w:asciiTheme="minorEastAsia" w:hAnsiTheme="minorEastAsia" w:eastAsiaTheme="minorEastAsia"/>
          <w:sz w:val="21"/>
          <w:szCs w:val="21"/>
        </w:rPr>
        <w:t>；</w:t>
      </w:r>
    </w:p>
    <w:p w14:paraId="2901DFFE">
      <w:pPr>
        <w:pStyle w:val="20"/>
        <w:numPr>
          <w:ilvl w:val="1"/>
          <w:numId w:val="5"/>
        </w:numPr>
        <w:tabs>
          <w:tab w:val="left" w:pos="567"/>
        </w:tabs>
        <w:snapToGrid w:val="0"/>
        <w:spacing w:line="360" w:lineRule="auto"/>
        <w:ind w:left="567" w:hanging="567" w:firstLineChars="0"/>
        <w:rPr>
          <w:rFonts w:asciiTheme="minorEastAsia" w:hAnsiTheme="minorEastAsia" w:eastAsiaTheme="minorEastAsia"/>
          <w:sz w:val="21"/>
          <w:szCs w:val="21"/>
        </w:rPr>
      </w:pPr>
      <w:r>
        <w:rPr>
          <w:rFonts w:hint="eastAsia" w:asciiTheme="minorEastAsia" w:hAnsiTheme="minorEastAsia" w:eastAsiaTheme="minorEastAsia"/>
          <w:sz w:val="21"/>
          <w:szCs w:val="21"/>
        </w:rPr>
        <w:t>提供履行合同所必需的设备和专业技术能力的证明材料；（提供《响应供应商资格声明函》）；</w:t>
      </w:r>
    </w:p>
    <w:p w14:paraId="1ED49800">
      <w:pPr>
        <w:pStyle w:val="20"/>
        <w:numPr>
          <w:ilvl w:val="1"/>
          <w:numId w:val="5"/>
        </w:numPr>
        <w:tabs>
          <w:tab w:val="left" w:pos="567"/>
        </w:tabs>
        <w:snapToGrid w:val="0"/>
        <w:spacing w:line="360" w:lineRule="auto"/>
        <w:ind w:left="567" w:hanging="567" w:firstLineChars="0"/>
        <w:rPr>
          <w:rFonts w:asciiTheme="minorEastAsia" w:hAnsiTheme="minorEastAsia" w:eastAsiaTheme="minorEastAsia"/>
          <w:sz w:val="21"/>
          <w:szCs w:val="21"/>
        </w:rPr>
      </w:pPr>
      <w:r>
        <w:rPr>
          <w:rFonts w:hint="eastAsia" w:asciiTheme="minorEastAsia" w:hAnsiTheme="minorEastAsia" w:eastAsiaTheme="minorEastAsia"/>
          <w:sz w:val="21"/>
          <w:szCs w:val="21"/>
        </w:rPr>
        <w:t>提供参加政府采购活动前3年内在经营活动中没有重大违法记录的书面声明</w:t>
      </w:r>
      <w:r>
        <w:rPr>
          <w:rFonts w:hint="eastAsia" w:asciiTheme="minorEastAsia" w:hAnsiTheme="minorEastAsia" w:eastAsiaTheme="minorEastAsia"/>
          <w:sz w:val="21"/>
          <w:szCs w:val="21"/>
          <w:highlight w:val="none"/>
          <w:lang w:val="en-US" w:eastAsia="zh-CN"/>
        </w:rPr>
        <w:t>(或提供汕头市政府采购供应商信用承诺函)</w:t>
      </w:r>
      <w:r>
        <w:rPr>
          <w:rFonts w:hint="eastAsia" w:asciiTheme="minorEastAsia" w:hAnsiTheme="minorEastAsia" w:eastAsiaTheme="minorEastAsia"/>
          <w:sz w:val="21"/>
          <w:szCs w:val="21"/>
        </w:rPr>
        <w:t>。</w:t>
      </w:r>
    </w:p>
    <w:p w14:paraId="6B81ECF1">
      <w:pPr>
        <w:numPr>
          <w:ilvl w:val="0"/>
          <w:numId w:val="4"/>
        </w:numPr>
        <w:autoSpaceDE/>
        <w:autoSpaceDN/>
        <w:snapToGrid w:val="0"/>
        <w:spacing w:line="360" w:lineRule="auto"/>
        <w:jc w:val="both"/>
      </w:pPr>
      <w:r>
        <w:rPr>
          <w:rFonts w:hint="eastAsia" w:hAnsi="宋体" w:cs="宋体"/>
          <w:bCs/>
        </w:rPr>
        <w:t>为采购项目提供整体设计、规范编制或者项目管理、监理、检测等服务的供应商，不得再参加同一采购项目的其他采购活动</w:t>
      </w:r>
      <w:r>
        <w:rPr>
          <w:rFonts w:hint="eastAsia" w:ascii="宋体" w:hAnsi="宋体"/>
          <w:bCs/>
        </w:rPr>
        <w:t>的书面声明。</w:t>
      </w:r>
      <w:r>
        <w:rPr>
          <w:rFonts w:hint="eastAsia" w:ascii="宋体" w:hAnsi="宋体"/>
          <w:bCs/>
          <w:szCs w:val="20"/>
        </w:rPr>
        <w:t>（提供《</w:t>
      </w:r>
      <w:r>
        <w:rPr>
          <w:rFonts w:hint="eastAsia" w:ascii="宋体" w:hAnsi="宋体"/>
        </w:rPr>
        <w:t>响应供应商</w:t>
      </w:r>
      <w:r>
        <w:rPr>
          <w:rFonts w:hint="eastAsia" w:ascii="宋体" w:hAnsi="宋体"/>
          <w:bCs/>
          <w:szCs w:val="20"/>
        </w:rPr>
        <w:t>资格声明函》）</w:t>
      </w:r>
    </w:p>
    <w:p w14:paraId="3B8B8BA0">
      <w:pPr>
        <w:numPr>
          <w:ilvl w:val="0"/>
          <w:numId w:val="4"/>
        </w:numPr>
        <w:autoSpaceDE/>
        <w:autoSpaceDN/>
        <w:snapToGrid w:val="0"/>
        <w:spacing w:line="360" w:lineRule="auto"/>
        <w:jc w:val="both"/>
        <w:rPr>
          <w:rFonts w:hAnsi="宋体" w:cs="宋体"/>
          <w:bCs/>
        </w:rPr>
      </w:pPr>
      <w:r>
        <w:rPr>
          <w:rFonts w:hint="eastAsia" w:ascii="宋体" w:hAnsi="宋体"/>
        </w:rPr>
        <w:t>单位负责人为同一人或者存在直接控股、管理关系的不同供应商，</w:t>
      </w:r>
      <w:r>
        <w:rPr>
          <w:rFonts w:hint="eastAsia"/>
          <w:bCs/>
        </w:rPr>
        <w:t>不得参加同一合同项下的政府采购活动。</w:t>
      </w:r>
      <w:r>
        <w:rPr>
          <w:rFonts w:hint="eastAsia" w:ascii="宋体" w:hAnsi="宋体"/>
          <w:bCs/>
          <w:szCs w:val="20"/>
        </w:rPr>
        <w:t>（提供《响应供应商资格声明函》）</w:t>
      </w:r>
    </w:p>
    <w:p w14:paraId="23681E46">
      <w:pPr>
        <w:numPr>
          <w:ilvl w:val="0"/>
          <w:numId w:val="4"/>
        </w:numPr>
        <w:autoSpaceDE/>
        <w:autoSpaceDN/>
        <w:snapToGrid w:val="0"/>
        <w:spacing w:line="360" w:lineRule="auto"/>
        <w:jc w:val="both"/>
        <w:rPr>
          <w:rFonts w:hAnsi="宋体" w:cs="宋体"/>
          <w:bCs/>
        </w:rPr>
      </w:pPr>
      <w:r>
        <w:rPr>
          <w:rFonts w:hint="eastAsia" w:ascii="宋体" w:hAnsi="宋体"/>
        </w:rPr>
        <w:t>在提交响应文件截止时间前响应供应商</w:t>
      </w:r>
      <w:r>
        <w:rPr>
          <w:rFonts w:ascii="宋体" w:hAnsi="宋体"/>
        </w:rPr>
        <w:t>未被列入“信用中国”网站(www.creditchina.gov.cn)</w:t>
      </w:r>
      <w:r>
        <w:rPr>
          <w:rFonts w:hint="eastAsia" w:ascii="宋体" w:hAnsi="宋体"/>
        </w:rPr>
        <w:t>以下任一记录名单之一：①失信被执行人；②重大税收违法案件当事人名单；③政府采购严重违法失信行为。同时，</w:t>
      </w:r>
      <w:r>
        <w:rPr>
          <w:rFonts w:ascii="宋体" w:hAnsi="宋体"/>
        </w:rPr>
        <w:t>不处于中国政府采购网(www.ccgp.gov.cn)“政府采购严重违法失信行为信息记录”中的禁止参加政府采购活动期间。</w:t>
      </w:r>
      <w:r>
        <w:rPr>
          <w:rFonts w:hint="eastAsia" w:ascii="宋体" w:hAnsi="宋体"/>
        </w:rPr>
        <w:t>【</w:t>
      </w:r>
      <w:r>
        <w:rPr>
          <w:rFonts w:hint="eastAsia" w:ascii="宋体" w:hAnsi="宋体" w:cs="宋体"/>
        </w:rPr>
        <w:t>说明：1）、</w:t>
      </w:r>
      <w:r>
        <w:rPr>
          <w:rFonts w:hint="eastAsia" w:ascii="宋体" w:hAnsi="宋体"/>
        </w:rPr>
        <w:t>由磋商小组</w:t>
      </w:r>
      <w:r>
        <w:rPr>
          <w:rFonts w:ascii="宋体" w:hAnsi="宋体"/>
        </w:rPr>
        <w:t>于</w:t>
      </w:r>
      <w:r>
        <w:rPr>
          <w:rFonts w:hint="eastAsia" w:ascii="宋体" w:hAnsi="宋体"/>
        </w:rPr>
        <w:t>递交响应文件截止日</w:t>
      </w:r>
      <w:r>
        <w:rPr>
          <w:rFonts w:ascii="宋体" w:hAnsi="宋体"/>
        </w:rPr>
        <w:t>在“信用中国”网站（www.creditchina.gov.cn）及中国政府采购网(www.ccgp.gov.cn)查询结果为准</w:t>
      </w:r>
      <w:r>
        <w:rPr>
          <w:rFonts w:hint="eastAsia" w:ascii="宋体" w:hAnsi="宋体"/>
        </w:rPr>
        <w:t>。</w:t>
      </w:r>
      <w:r>
        <w:rPr>
          <w:rFonts w:hint="eastAsia" w:ascii="宋体" w:hAnsi="宋体" w:cs="宋体"/>
        </w:rPr>
        <w:t>2）、采购代理机构同时对信用信息查询记录和证据截图或下载存档。</w:t>
      </w:r>
      <w:r>
        <w:rPr>
          <w:rFonts w:hint="eastAsia" w:ascii="宋体" w:hAnsi="宋体"/>
        </w:rPr>
        <w:t>】</w:t>
      </w:r>
    </w:p>
    <w:p w14:paraId="0B3BFA21">
      <w:pPr>
        <w:numPr>
          <w:ilvl w:val="0"/>
          <w:numId w:val="4"/>
        </w:numPr>
        <w:autoSpaceDE/>
        <w:autoSpaceDN/>
        <w:snapToGrid w:val="0"/>
        <w:spacing w:line="360" w:lineRule="auto"/>
        <w:jc w:val="both"/>
        <w:rPr>
          <w:rFonts w:ascii="宋体" w:hAnsi="宋体"/>
        </w:rPr>
      </w:pPr>
      <w:r>
        <w:rPr>
          <w:rFonts w:hint="eastAsia" w:ascii="宋体" w:hAnsi="宋体"/>
        </w:rPr>
        <w:t>本项目不接受联合体投标。</w:t>
      </w:r>
    </w:p>
    <w:p w14:paraId="7D10A312">
      <w:pPr>
        <w:tabs>
          <w:tab w:val="left" w:pos="284"/>
        </w:tabs>
        <w:autoSpaceDE/>
        <w:autoSpaceDN/>
        <w:snapToGrid w:val="0"/>
        <w:spacing w:line="360" w:lineRule="auto"/>
        <w:ind w:firstLine="420" w:firstLineChars="200"/>
        <w:jc w:val="both"/>
        <w:rPr>
          <w:rFonts w:ascii="宋体" w:hAnsi="宋体"/>
        </w:rPr>
      </w:pPr>
      <w:r>
        <w:rPr>
          <w:rFonts w:hint="eastAsia" w:ascii="宋体" w:hAnsi="宋体"/>
        </w:rPr>
        <w:t>符合以上要求的供应商，磋商小组以公开报名的方式确定其报价资格。</w:t>
      </w:r>
    </w:p>
    <w:p w14:paraId="772E715F">
      <w:pPr>
        <w:tabs>
          <w:tab w:val="left" w:pos="284"/>
        </w:tabs>
        <w:autoSpaceDE/>
        <w:autoSpaceDN/>
        <w:snapToGrid w:val="0"/>
        <w:spacing w:line="360" w:lineRule="auto"/>
        <w:ind w:firstLine="420" w:firstLineChars="200"/>
        <w:jc w:val="both"/>
        <w:rPr>
          <w:rFonts w:ascii="宋体" w:hAnsi="宋体"/>
          <w:bCs/>
        </w:rPr>
      </w:pPr>
      <w:r>
        <w:rPr>
          <w:rFonts w:hint="eastAsia" w:ascii="宋体" w:hAnsi="宋体"/>
          <w:bCs/>
        </w:rPr>
        <w:t>说明：</w:t>
      </w:r>
    </w:p>
    <w:p w14:paraId="0FF7C3CA">
      <w:pPr>
        <w:tabs>
          <w:tab w:val="left" w:pos="284"/>
        </w:tabs>
        <w:autoSpaceDE/>
        <w:autoSpaceDN/>
        <w:snapToGrid w:val="0"/>
        <w:spacing w:line="360" w:lineRule="auto"/>
        <w:ind w:firstLine="420" w:firstLineChars="200"/>
        <w:jc w:val="both"/>
        <w:rPr>
          <w:rFonts w:ascii="宋体" w:hAnsi="宋体"/>
          <w:bCs/>
        </w:rPr>
      </w:pPr>
      <w:r>
        <w:rPr>
          <w:rFonts w:hint="eastAsia" w:ascii="宋体" w:hAnsi="宋体"/>
          <w:bCs/>
        </w:rPr>
        <w:t>获取磋商文件时请带齐以下资料（全部须加盖公章）：</w:t>
      </w:r>
    </w:p>
    <w:p w14:paraId="18981636">
      <w:pPr>
        <w:tabs>
          <w:tab w:val="left" w:pos="284"/>
        </w:tabs>
        <w:autoSpaceDE/>
        <w:autoSpaceDN/>
        <w:snapToGrid w:val="0"/>
        <w:spacing w:line="360" w:lineRule="auto"/>
        <w:ind w:firstLine="420" w:firstLineChars="200"/>
        <w:jc w:val="both"/>
        <w:rPr>
          <w:rFonts w:ascii="宋体" w:hAnsi="宋体"/>
          <w:bCs/>
        </w:rPr>
      </w:pPr>
      <w:r>
        <w:rPr>
          <w:rFonts w:hint="eastAsia" w:ascii="宋体" w:hAnsi="宋体"/>
          <w:bCs/>
        </w:rPr>
        <w:t>1、有效的《营业执照》复印件一份；</w:t>
      </w:r>
    </w:p>
    <w:p w14:paraId="6AE64BE1">
      <w:pPr>
        <w:tabs>
          <w:tab w:val="left" w:pos="284"/>
        </w:tabs>
        <w:autoSpaceDE/>
        <w:autoSpaceDN/>
        <w:snapToGrid w:val="0"/>
        <w:spacing w:line="360" w:lineRule="auto"/>
        <w:ind w:firstLine="420" w:firstLineChars="200"/>
        <w:jc w:val="both"/>
        <w:rPr>
          <w:rFonts w:ascii="宋体" w:hAnsi="宋体"/>
          <w:bCs/>
        </w:rPr>
      </w:pPr>
      <w:r>
        <w:rPr>
          <w:rFonts w:hint="eastAsia" w:ascii="宋体" w:hAnsi="宋体"/>
          <w:bCs/>
        </w:rPr>
        <w:t>2、《法定代表人身份证明书》原件一份，法定代表人身份证复印件一份；</w:t>
      </w:r>
    </w:p>
    <w:p w14:paraId="683B3B76">
      <w:pPr>
        <w:tabs>
          <w:tab w:val="left" w:pos="284"/>
        </w:tabs>
        <w:autoSpaceDE/>
        <w:autoSpaceDN/>
        <w:snapToGrid w:val="0"/>
        <w:spacing w:line="360" w:lineRule="auto"/>
        <w:ind w:left="420" w:leftChars="200"/>
        <w:jc w:val="both"/>
      </w:pPr>
      <w:r>
        <w:rPr>
          <w:rFonts w:hint="eastAsia" w:ascii="宋体" w:hAnsi="宋体"/>
          <w:bCs/>
        </w:rPr>
        <w:t>3、《法定代表人授权委托书》原件一份，被授权人身份证复印件一份（若委托代理人领取磋商文件）；</w:t>
      </w:r>
    </w:p>
    <w:p w14:paraId="28856761">
      <w:pPr>
        <w:numPr>
          <w:ilvl w:val="0"/>
          <w:numId w:val="2"/>
        </w:numPr>
        <w:tabs>
          <w:tab w:val="left" w:pos="284"/>
          <w:tab w:val="clear" w:pos="1200"/>
        </w:tabs>
        <w:autoSpaceDE/>
        <w:autoSpaceDN/>
        <w:snapToGrid w:val="0"/>
        <w:spacing w:line="360" w:lineRule="auto"/>
        <w:ind w:left="426" w:hanging="426"/>
        <w:jc w:val="both"/>
        <w:rPr>
          <w:rFonts w:ascii="宋体" w:hAnsi="宋体"/>
          <w:bCs/>
        </w:rPr>
      </w:pPr>
      <w:r>
        <w:rPr>
          <w:rFonts w:hint="eastAsia" w:ascii="宋体" w:hAnsi="宋体"/>
          <w:bCs/>
        </w:rPr>
        <w:t>符合资格的响应供应商应当在20</w:t>
      </w:r>
      <w:r>
        <w:rPr>
          <w:rFonts w:hint="eastAsia" w:ascii="宋体" w:hAnsi="宋体"/>
          <w:bCs/>
          <w:lang w:val="en-US" w:eastAsia="zh-CN"/>
        </w:rPr>
        <w:t>24</w:t>
      </w:r>
      <w:r>
        <w:rPr>
          <w:rFonts w:hint="eastAsia" w:ascii="宋体" w:hAnsi="宋体"/>
          <w:bCs/>
        </w:rPr>
        <w:t>年</w:t>
      </w:r>
      <w:r>
        <w:rPr>
          <w:rFonts w:hint="eastAsia" w:ascii="宋体" w:hAnsi="宋体"/>
          <w:bCs/>
          <w:lang w:val="en-US" w:eastAsia="zh-CN"/>
        </w:rPr>
        <w:t>12</w:t>
      </w:r>
      <w:r>
        <w:rPr>
          <w:rFonts w:hint="eastAsia" w:ascii="宋体" w:hAnsi="宋体"/>
          <w:bCs/>
        </w:rPr>
        <w:t>月</w:t>
      </w:r>
      <w:r>
        <w:rPr>
          <w:rFonts w:hint="eastAsia" w:ascii="宋体" w:hAnsi="宋体"/>
          <w:bCs/>
          <w:lang w:val="en-US" w:eastAsia="zh-CN"/>
        </w:rPr>
        <w:t>25</w:t>
      </w:r>
      <w:r>
        <w:rPr>
          <w:rFonts w:hint="eastAsia" w:ascii="宋体" w:hAnsi="宋体"/>
          <w:bCs/>
        </w:rPr>
        <w:t>日起至202</w:t>
      </w:r>
      <w:r>
        <w:rPr>
          <w:rFonts w:hint="eastAsia" w:ascii="宋体" w:hAnsi="宋体"/>
          <w:bCs/>
          <w:lang w:val="en-US" w:eastAsia="zh-CN"/>
        </w:rPr>
        <w:t>4</w:t>
      </w:r>
      <w:r>
        <w:rPr>
          <w:rFonts w:hint="eastAsia" w:ascii="宋体" w:hAnsi="宋体"/>
          <w:bCs/>
        </w:rPr>
        <w:t>年</w:t>
      </w:r>
      <w:r>
        <w:rPr>
          <w:rFonts w:hint="eastAsia" w:ascii="宋体" w:hAnsi="宋体"/>
          <w:bCs/>
          <w:lang w:val="en-US" w:eastAsia="zh-CN"/>
        </w:rPr>
        <w:t>12</w:t>
      </w:r>
      <w:r>
        <w:rPr>
          <w:rFonts w:hint="eastAsia" w:ascii="宋体" w:hAnsi="宋体"/>
          <w:bCs/>
        </w:rPr>
        <w:t>月</w:t>
      </w:r>
      <w:r>
        <w:rPr>
          <w:rFonts w:hint="eastAsia" w:ascii="宋体" w:hAnsi="宋体"/>
          <w:bCs/>
          <w:lang w:val="en-US" w:eastAsia="zh-CN"/>
        </w:rPr>
        <w:t>31</w:t>
      </w:r>
      <w:r>
        <w:rPr>
          <w:rFonts w:hint="eastAsia" w:ascii="宋体" w:hAnsi="宋体"/>
          <w:bCs/>
        </w:rPr>
        <w:t>日期间（每天9∶00至12∶00，14∶30至17∶30，法定节假日除外）到广东群升招标代理有限公司汕头分公司（详细地址：</w:t>
      </w:r>
      <w:r>
        <w:rPr>
          <w:rFonts w:hint="eastAsia" w:ascii="宋体" w:hAnsi="宋体"/>
          <w:bCs/>
          <w:color w:val="auto"/>
          <w:highlight w:val="none"/>
        </w:rPr>
        <w:t>汕头市龙湖区衡山路锦龙商业大厦10楼1001-1002单位）购买磋商文件，磋商文件售价人民币300元/套，售后不退（免费提供纸质文件，请自备U盘拷贝电子文档）。</w:t>
      </w:r>
    </w:p>
    <w:p w14:paraId="71EF82BC">
      <w:pPr>
        <w:numPr>
          <w:ilvl w:val="0"/>
          <w:numId w:val="2"/>
        </w:numPr>
        <w:tabs>
          <w:tab w:val="left" w:pos="284"/>
          <w:tab w:val="clear" w:pos="1200"/>
        </w:tabs>
        <w:autoSpaceDE/>
        <w:autoSpaceDN/>
        <w:snapToGrid w:val="0"/>
        <w:spacing w:line="360" w:lineRule="auto"/>
        <w:ind w:left="426" w:hanging="426"/>
        <w:jc w:val="both"/>
        <w:rPr>
          <w:rFonts w:ascii="仿宋_GB2312" w:hAnsi="宋体"/>
        </w:rPr>
      </w:pPr>
      <w:r>
        <w:rPr>
          <w:rFonts w:hint="eastAsia" w:ascii="宋体" w:hAnsi="宋体"/>
          <w:bCs/>
        </w:rPr>
        <w:t>提交</w:t>
      </w:r>
      <w:r>
        <w:rPr>
          <w:rFonts w:hint="eastAsia" w:ascii="宋体" w:hAnsi="宋体"/>
        </w:rPr>
        <w:t>响应文件截止时间</w:t>
      </w:r>
      <w:r>
        <w:rPr>
          <w:rFonts w:hint="eastAsia" w:ascii="仿宋_GB2312" w:hAnsi="宋体"/>
        </w:rPr>
        <w:t>：</w:t>
      </w:r>
      <w:r>
        <w:rPr>
          <w:rFonts w:hint="eastAsia" w:ascii="宋体" w:hAnsi="宋体"/>
          <w:bCs/>
        </w:rPr>
        <w:t>202</w:t>
      </w:r>
      <w:r>
        <w:rPr>
          <w:rFonts w:hint="eastAsia" w:ascii="宋体" w:hAnsi="宋体"/>
          <w:bCs/>
          <w:lang w:val="en-US" w:eastAsia="zh-CN"/>
        </w:rPr>
        <w:t>5</w:t>
      </w:r>
      <w:r>
        <w:rPr>
          <w:rFonts w:hint="eastAsia" w:ascii="宋体" w:hAnsi="宋体"/>
          <w:bCs/>
        </w:rPr>
        <w:t>年</w:t>
      </w:r>
      <w:r>
        <w:rPr>
          <w:rFonts w:hint="eastAsia" w:ascii="宋体" w:hAnsi="宋体"/>
          <w:bCs/>
          <w:lang w:val="en-US" w:eastAsia="zh-CN"/>
        </w:rPr>
        <w:t>1</w:t>
      </w:r>
      <w:r>
        <w:rPr>
          <w:rFonts w:hint="eastAsia" w:ascii="宋体" w:hAnsi="宋体"/>
          <w:bCs/>
        </w:rPr>
        <w:t>月</w:t>
      </w:r>
      <w:r>
        <w:rPr>
          <w:rFonts w:hint="eastAsia" w:ascii="宋体" w:hAnsi="宋体"/>
          <w:bCs/>
          <w:lang w:val="en-US" w:eastAsia="zh-CN"/>
        </w:rPr>
        <w:t>6</w:t>
      </w:r>
      <w:r>
        <w:rPr>
          <w:rFonts w:hint="eastAsia" w:ascii="宋体" w:hAnsi="宋体"/>
          <w:bCs/>
        </w:rPr>
        <w:t xml:space="preserve">日 </w:t>
      </w:r>
      <w:r>
        <w:rPr>
          <w:rFonts w:hint="eastAsia" w:ascii="宋体" w:hAnsi="宋体"/>
          <w:bCs/>
          <w:lang w:val="en-US" w:eastAsia="zh-CN"/>
        </w:rPr>
        <w:t>09</w:t>
      </w:r>
      <w:r>
        <w:rPr>
          <w:rFonts w:hint="eastAsia" w:ascii="宋体" w:hAnsi="宋体"/>
          <w:bCs/>
        </w:rPr>
        <w:t>时45分。</w:t>
      </w:r>
    </w:p>
    <w:p w14:paraId="12BEB4CD">
      <w:pPr>
        <w:numPr>
          <w:ilvl w:val="0"/>
          <w:numId w:val="2"/>
        </w:numPr>
        <w:tabs>
          <w:tab w:val="left" w:pos="284"/>
          <w:tab w:val="clear" w:pos="1200"/>
        </w:tabs>
        <w:autoSpaceDE/>
        <w:autoSpaceDN/>
        <w:snapToGrid w:val="0"/>
        <w:spacing w:line="360" w:lineRule="auto"/>
        <w:ind w:left="426" w:hanging="426"/>
        <w:jc w:val="both"/>
        <w:rPr>
          <w:rFonts w:ascii="宋体" w:hAnsi="宋体"/>
          <w:bCs/>
        </w:rPr>
      </w:pPr>
      <w:r>
        <w:rPr>
          <w:rFonts w:hint="eastAsia" w:ascii="宋体"/>
          <w:bCs/>
        </w:rPr>
        <w:t>提交</w:t>
      </w:r>
      <w:r>
        <w:rPr>
          <w:rFonts w:hint="eastAsia" w:ascii="仿宋_GB2312" w:hAnsi="宋体"/>
        </w:rPr>
        <w:t>响应文件地点：</w:t>
      </w:r>
      <w:r>
        <w:rPr>
          <w:rFonts w:hint="eastAsia" w:ascii="宋体" w:hAnsi="宋体"/>
        </w:rPr>
        <w:t>汕头市龙湖区衡山路锦龙商业大厦10楼1001-1002单位</w:t>
      </w:r>
      <w:r>
        <w:rPr>
          <w:rFonts w:hint="eastAsia" w:ascii="宋体" w:hAnsi="宋体"/>
          <w:bCs/>
        </w:rPr>
        <w:t>。</w:t>
      </w:r>
    </w:p>
    <w:p w14:paraId="754EC36C">
      <w:pPr>
        <w:numPr>
          <w:ilvl w:val="0"/>
          <w:numId w:val="2"/>
        </w:numPr>
        <w:tabs>
          <w:tab w:val="left" w:pos="284"/>
          <w:tab w:val="clear" w:pos="1200"/>
        </w:tabs>
        <w:autoSpaceDE/>
        <w:autoSpaceDN/>
        <w:snapToGrid w:val="0"/>
        <w:spacing w:line="360" w:lineRule="auto"/>
        <w:ind w:left="426" w:hanging="426"/>
        <w:jc w:val="both"/>
        <w:rPr>
          <w:rFonts w:ascii="仿宋_GB2312" w:hAnsi="宋体"/>
        </w:rPr>
      </w:pPr>
      <w:r>
        <w:rPr>
          <w:rFonts w:hint="eastAsia" w:ascii="仿宋_GB2312" w:hAnsi="宋体"/>
        </w:rPr>
        <w:t>磋商时间：</w:t>
      </w:r>
      <w:r>
        <w:rPr>
          <w:rFonts w:hint="eastAsia" w:ascii="宋体" w:hAnsi="宋体"/>
        </w:rPr>
        <w:t>202</w:t>
      </w:r>
      <w:r>
        <w:rPr>
          <w:rFonts w:hint="eastAsia" w:ascii="宋体" w:hAnsi="宋体"/>
          <w:lang w:val="en-US" w:eastAsia="zh-CN"/>
        </w:rPr>
        <w:t>5</w:t>
      </w:r>
      <w:bookmarkStart w:id="247" w:name="_GoBack"/>
      <w:bookmarkEnd w:id="247"/>
      <w:r>
        <w:rPr>
          <w:rFonts w:hint="eastAsia" w:ascii="宋体" w:hAnsi="宋体"/>
        </w:rPr>
        <w:t>年</w:t>
      </w:r>
      <w:r>
        <w:rPr>
          <w:rFonts w:hint="eastAsia" w:ascii="宋体" w:hAnsi="宋体"/>
          <w:lang w:val="en-US" w:eastAsia="zh-CN"/>
        </w:rPr>
        <w:t>1</w:t>
      </w:r>
      <w:r>
        <w:rPr>
          <w:rFonts w:hint="eastAsia" w:ascii="宋体" w:hAnsi="宋体"/>
        </w:rPr>
        <w:t>月</w:t>
      </w:r>
      <w:r>
        <w:rPr>
          <w:rFonts w:hint="eastAsia" w:ascii="宋体" w:hAnsi="宋体"/>
          <w:lang w:val="en-US" w:eastAsia="zh-CN"/>
        </w:rPr>
        <w:t>6</w:t>
      </w:r>
      <w:r>
        <w:rPr>
          <w:rFonts w:hint="eastAsia" w:ascii="宋体" w:hAnsi="宋体"/>
        </w:rPr>
        <w:t>日</w:t>
      </w:r>
      <w:r>
        <w:rPr>
          <w:rFonts w:hint="eastAsia" w:ascii="宋体" w:hAnsi="宋体"/>
          <w:bCs/>
          <w:lang w:val="en-US" w:eastAsia="zh-CN"/>
        </w:rPr>
        <w:t>9</w:t>
      </w:r>
      <w:r>
        <w:rPr>
          <w:rFonts w:hint="eastAsia" w:ascii="宋体" w:hAnsi="宋体"/>
          <w:bCs/>
        </w:rPr>
        <w:t>时45分。</w:t>
      </w:r>
    </w:p>
    <w:p w14:paraId="0829CA88">
      <w:pPr>
        <w:numPr>
          <w:ilvl w:val="0"/>
          <w:numId w:val="2"/>
        </w:numPr>
        <w:tabs>
          <w:tab w:val="left" w:pos="284"/>
          <w:tab w:val="clear" w:pos="1200"/>
        </w:tabs>
        <w:autoSpaceDE/>
        <w:autoSpaceDN/>
        <w:snapToGrid w:val="0"/>
        <w:spacing w:line="360" w:lineRule="auto"/>
        <w:ind w:left="426" w:hanging="426"/>
        <w:jc w:val="both"/>
        <w:rPr>
          <w:rFonts w:ascii="宋体" w:hAnsi="宋体"/>
          <w:bCs/>
        </w:rPr>
      </w:pPr>
      <w:r>
        <w:rPr>
          <w:rFonts w:hint="eastAsia" w:ascii="仿宋_GB2312" w:hAnsi="宋体"/>
        </w:rPr>
        <w:t>磋商地点：</w:t>
      </w:r>
      <w:r>
        <w:rPr>
          <w:rFonts w:hint="eastAsia" w:ascii="宋体" w:hAnsi="宋体"/>
        </w:rPr>
        <w:t>汕头市龙湖区衡山路锦龙商业大厦10楼1001-1002单位</w:t>
      </w:r>
      <w:r>
        <w:rPr>
          <w:rFonts w:hint="eastAsia" w:ascii="宋体" w:hAnsi="宋体"/>
          <w:bCs/>
        </w:rPr>
        <w:t>。</w:t>
      </w:r>
    </w:p>
    <w:p w14:paraId="771A3D4B">
      <w:pPr>
        <w:numPr>
          <w:ilvl w:val="0"/>
          <w:numId w:val="2"/>
        </w:numPr>
        <w:tabs>
          <w:tab w:val="left" w:pos="284"/>
          <w:tab w:val="clear" w:pos="1200"/>
        </w:tabs>
        <w:autoSpaceDE/>
        <w:autoSpaceDN/>
        <w:snapToGrid w:val="0"/>
        <w:spacing w:line="360" w:lineRule="auto"/>
        <w:ind w:left="426" w:hanging="426"/>
        <w:jc w:val="both"/>
        <w:rPr>
          <w:rFonts w:ascii="仿宋_GB2312" w:hAnsi="宋体"/>
        </w:rPr>
      </w:pPr>
      <w:r>
        <w:rPr>
          <w:rFonts w:hint="eastAsia" w:ascii="仿宋_GB2312" w:hAnsi="宋体"/>
        </w:rPr>
        <w:t>本公告期限</w:t>
      </w:r>
      <w:r>
        <w:rPr>
          <w:rFonts w:hint="eastAsia" w:ascii="宋体" w:hAnsi="宋体"/>
        </w:rPr>
        <w:t>（</w:t>
      </w:r>
      <w:r>
        <w:rPr>
          <w:rFonts w:hint="eastAsia" w:ascii="宋体" w:hAnsi="宋体"/>
          <w:lang w:eastAsia="zh-CN"/>
        </w:rPr>
        <w:t>不少于</w:t>
      </w:r>
      <w:r>
        <w:rPr>
          <w:rFonts w:hint="eastAsia" w:ascii="宋体" w:hAnsi="宋体"/>
        </w:rPr>
        <w:t>3个工作日</w:t>
      </w:r>
      <w:r>
        <w:rPr>
          <w:rFonts w:hint="eastAsia" w:ascii="仿宋_GB2312" w:hAnsi="宋体"/>
        </w:rPr>
        <w:t>）。</w:t>
      </w:r>
    </w:p>
    <w:p w14:paraId="711F05E4">
      <w:pPr>
        <w:numPr>
          <w:ilvl w:val="0"/>
          <w:numId w:val="2"/>
        </w:numPr>
        <w:tabs>
          <w:tab w:val="left" w:pos="709"/>
          <w:tab w:val="clear" w:pos="1200"/>
        </w:tabs>
        <w:autoSpaceDE/>
        <w:autoSpaceDN/>
        <w:snapToGrid w:val="0"/>
        <w:spacing w:line="360" w:lineRule="auto"/>
        <w:ind w:left="709" w:hanging="709"/>
        <w:jc w:val="both"/>
        <w:rPr>
          <w:rFonts w:ascii="宋体"/>
          <w:bCs/>
        </w:rPr>
      </w:pPr>
      <w:r>
        <w:rPr>
          <w:rFonts w:hint="eastAsia" w:ascii="宋体"/>
          <w:bCs/>
        </w:rPr>
        <w:t>联系事项</w:t>
      </w:r>
    </w:p>
    <w:p w14:paraId="1D8DD2DE">
      <w:pPr>
        <w:tabs>
          <w:tab w:val="left" w:pos="709"/>
        </w:tabs>
        <w:autoSpaceDE/>
        <w:autoSpaceDN/>
        <w:snapToGrid w:val="0"/>
        <w:spacing w:line="360" w:lineRule="auto"/>
        <w:jc w:val="both"/>
        <w:rPr>
          <w:rFonts w:ascii="宋体"/>
          <w:bCs/>
        </w:rPr>
      </w:pPr>
      <w:r>
        <w:rPr>
          <w:rFonts w:hint="eastAsia" w:ascii="宋体"/>
          <w:bCs/>
        </w:rPr>
        <w:t>1、采购人联系方式</w:t>
      </w:r>
    </w:p>
    <w:p w14:paraId="2A8F7FF1">
      <w:pPr>
        <w:tabs>
          <w:tab w:val="left" w:pos="709"/>
        </w:tabs>
        <w:autoSpaceDE/>
        <w:autoSpaceDN/>
        <w:snapToGrid w:val="0"/>
        <w:spacing w:line="360" w:lineRule="auto"/>
        <w:jc w:val="both"/>
        <w:rPr>
          <w:rFonts w:hint="eastAsia" w:ascii="宋体"/>
          <w:bCs/>
          <w:highlight w:val="none"/>
          <w:lang w:eastAsia="zh-CN"/>
        </w:rPr>
      </w:pPr>
      <w:r>
        <w:rPr>
          <w:rFonts w:hint="eastAsia" w:ascii="宋体"/>
          <w:bCs/>
          <w:highlight w:val="none"/>
        </w:rPr>
        <w:t>采购人名称：</w:t>
      </w:r>
      <w:r>
        <w:rPr>
          <w:rFonts w:hint="eastAsia" w:ascii="宋体"/>
          <w:bCs/>
          <w:highlight w:val="none"/>
          <w:lang w:eastAsia="zh-CN"/>
        </w:rPr>
        <w:t>南澳县海防史博物馆</w:t>
      </w:r>
    </w:p>
    <w:p w14:paraId="44B5319E">
      <w:pPr>
        <w:tabs>
          <w:tab w:val="left" w:pos="709"/>
        </w:tabs>
        <w:autoSpaceDE/>
        <w:autoSpaceDN/>
        <w:snapToGrid w:val="0"/>
        <w:spacing w:line="360" w:lineRule="auto"/>
        <w:jc w:val="both"/>
        <w:rPr>
          <w:rFonts w:hint="eastAsia" w:ascii="宋体" w:eastAsia="宋体"/>
          <w:bCs/>
          <w:highlight w:val="none"/>
          <w:lang w:val="en-US" w:eastAsia="zh-CN"/>
        </w:rPr>
      </w:pPr>
      <w:r>
        <w:rPr>
          <w:rFonts w:hint="eastAsia" w:ascii="宋体"/>
          <w:bCs/>
          <w:highlight w:val="none"/>
        </w:rPr>
        <w:t>采购人地址：</w:t>
      </w:r>
      <w:r>
        <w:rPr>
          <w:rFonts w:hint="eastAsia" w:ascii="宋体"/>
          <w:bCs/>
          <w:highlight w:val="none"/>
          <w:lang w:eastAsia="zh-CN"/>
        </w:rPr>
        <w:t>南澳县</w:t>
      </w:r>
      <w:r>
        <w:rPr>
          <w:rFonts w:hint="eastAsia" w:ascii="宋体"/>
          <w:bCs/>
          <w:highlight w:val="none"/>
          <w:lang w:val="en-US" w:eastAsia="zh-CN"/>
        </w:rPr>
        <w:t>后宅镇中兴路</w:t>
      </w:r>
    </w:p>
    <w:p w14:paraId="5E3A2449">
      <w:pPr>
        <w:tabs>
          <w:tab w:val="left" w:pos="709"/>
        </w:tabs>
        <w:autoSpaceDE/>
        <w:autoSpaceDN/>
        <w:snapToGrid w:val="0"/>
        <w:spacing w:line="360" w:lineRule="auto"/>
        <w:jc w:val="both"/>
        <w:rPr>
          <w:rFonts w:hint="eastAsia" w:ascii="宋体"/>
          <w:bCs/>
          <w:highlight w:val="none"/>
          <w:lang w:eastAsia="zh-CN"/>
        </w:rPr>
      </w:pPr>
      <w:r>
        <w:rPr>
          <w:rFonts w:hint="eastAsia" w:ascii="宋体"/>
          <w:bCs/>
          <w:highlight w:val="none"/>
        </w:rPr>
        <w:t>采购人联系人：</w:t>
      </w:r>
      <w:r>
        <w:rPr>
          <w:rFonts w:hint="eastAsia" w:ascii="宋体"/>
          <w:bCs/>
          <w:highlight w:val="none"/>
          <w:lang w:eastAsia="zh-CN"/>
        </w:rPr>
        <w:t>黄先生</w:t>
      </w:r>
    </w:p>
    <w:p w14:paraId="453A8F17">
      <w:pPr>
        <w:tabs>
          <w:tab w:val="left" w:pos="709"/>
        </w:tabs>
        <w:autoSpaceDE/>
        <w:autoSpaceDN/>
        <w:snapToGrid w:val="0"/>
        <w:spacing w:line="360" w:lineRule="auto"/>
        <w:jc w:val="both"/>
        <w:rPr>
          <w:rFonts w:hint="eastAsia" w:ascii="宋体"/>
          <w:bCs/>
          <w:highlight w:val="none"/>
          <w:lang w:val="en-US" w:eastAsia="zh-CN"/>
        </w:rPr>
      </w:pPr>
      <w:r>
        <w:rPr>
          <w:rFonts w:hint="eastAsia" w:ascii="宋体"/>
          <w:bCs/>
          <w:highlight w:val="none"/>
        </w:rPr>
        <w:t>采购人联系电话：0754-8</w:t>
      </w:r>
      <w:r>
        <w:rPr>
          <w:rFonts w:hint="eastAsia" w:ascii="宋体"/>
          <w:bCs/>
          <w:highlight w:val="none"/>
          <w:lang w:val="en-US" w:eastAsia="zh-CN"/>
        </w:rPr>
        <w:t>6803504</w:t>
      </w:r>
    </w:p>
    <w:p w14:paraId="3A67B3CA">
      <w:pPr>
        <w:tabs>
          <w:tab w:val="left" w:pos="709"/>
        </w:tabs>
        <w:autoSpaceDE/>
        <w:autoSpaceDN/>
        <w:snapToGrid w:val="0"/>
        <w:spacing w:line="360" w:lineRule="auto"/>
        <w:jc w:val="both"/>
        <w:rPr>
          <w:rFonts w:ascii="宋体"/>
          <w:bCs/>
        </w:rPr>
      </w:pPr>
      <w:r>
        <w:rPr>
          <w:rFonts w:hint="eastAsia" w:ascii="宋体"/>
          <w:bCs/>
        </w:rPr>
        <w:t>2、采购代理机构联系方式</w:t>
      </w:r>
    </w:p>
    <w:p w14:paraId="2011D808">
      <w:pPr>
        <w:tabs>
          <w:tab w:val="left" w:pos="709"/>
        </w:tabs>
        <w:autoSpaceDE/>
        <w:autoSpaceDN/>
        <w:snapToGrid w:val="0"/>
        <w:spacing w:line="360" w:lineRule="auto"/>
        <w:jc w:val="both"/>
        <w:rPr>
          <w:rFonts w:ascii="宋体"/>
          <w:bCs/>
        </w:rPr>
      </w:pPr>
      <w:r>
        <w:rPr>
          <w:rFonts w:hint="eastAsia" w:ascii="宋体"/>
          <w:bCs/>
        </w:rPr>
        <w:t>采购代理机构名称：广东群升招标代理有限公司汕头分公司</w:t>
      </w:r>
    </w:p>
    <w:p w14:paraId="7460EA79">
      <w:pPr>
        <w:tabs>
          <w:tab w:val="left" w:pos="709"/>
        </w:tabs>
        <w:autoSpaceDE/>
        <w:autoSpaceDN/>
        <w:snapToGrid w:val="0"/>
        <w:spacing w:line="360" w:lineRule="auto"/>
        <w:jc w:val="both"/>
        <w:rPr>
          <w:rFonts w:ascii="宋体"/>
          <w:bCs/>
        </w:rPr>
      </w:pPr>
      <w:r>
        <w:rPr>
          <w:rFonts w:hint="eastAsia" w:ascii="宋体"/>
          <w:bCs/>
        </w:rPr>
        <w:t>采购代理机构地址：汕头市龙湖区衡山路锦龙商业大厦10楼1001-1002单位</w:t>
      </w:r>
    </w:p>
    <w:p w14:paraId="63995EC6">
      <w:pPr>
        <w:tabs>
          <w:tab w:val="left" w:pos="709"/>
        </w:tabs>
        <w:autoSpaceDE/>
        <w:autoSpaceDN/>
        <w:snapToGrid w:val="0"/>
        <w:spacing w:line="360" w:lineRule="auto"/>
        <w:jc w:val="both"/>
        <w:rPr>
          <w:rFonts w:ascii="宋体"/>
          <w:bCs/>
        </w:rPr>
      </w:pPr>
      <w:r>
        <w:rPr>
          <w:rFonts w:hint="eastAsia" w:ascii="宋体"/>
          <w:bCs/>
        </w:rPr>
        <w:t>采购代理机构联系人：张小姐</w:t>
      </w:r>
    </w:p>
    <w:p w14:paraId="66DF6626">
      <w:pPr>
        <w:tabs>
          <w:tab w:val="left" w:pos="709"/>
        </w:tabs>
        <w:autoSpaceDE/>
        <w:autoSpaceDN/>
        <w:snapToGrid w:val="0"/>
        <w:spacing w:line="360" w:lineRule="auto"/>
        <w:jc w:val="both"/>
        <w:rPr>
          <w:rFonts w:ascii="宋体"/>
          <w:bCs/>
        </w:rPr>
      </w:pPr>
      <w:r>
        <w:rPr>
          <w:rFonts w:hint="eastAsia" w:ascii="宋体"/>
          <w:bCs/>
        </w:rPr>
        <w:t>采购代理机构联系电话：0754-88896000</w:t>
      </w:r>
    </w:p>
    <w:p w14:paraId="3D9987B0">
      <w:pPr>
        <w:tabs>
          <w:tab w:val="left" w:pos="709"/>
        </w:tabs>
        <w:autoSpaceDE/>
        <w:autoSpaceDN/>
        <w:snapToGrid w:val="0"/>
        <w:spacing w:line="360" w:lineRule="auto"/>
        <w:jc w:val="both"/>
        <w:rPr>
          <w:rFonts w:ascii="宋体"/>
          <w:bCs/>
        </w:rPr>
      </w:pPr>
      <w:r>
        <w:rPr>
          <w:rFonts w:hint="eastAsia" w:ascii="宋体"/>
          <w:bCs/>
        </w:rPr>
        <w:t>采购代理机构传真：0754-88786650</w:t>
      </w:r>
    </w:p>
    <w:p w14:paraId="44610530">
      <w:pPr>
        <w:tabs>
          <w:tab w:val="left" w:pos="709"/>
        </w:tabs>
        <w:autoSpaceDE/>
        <w:autoSpaceDN/>
        <w:snapToGrid w:val="0"/>
        <w:spacing w:line="360" w:lineRule="auto"/>
        <w:jc w:val="both"/>
        <w:rPr>
          <w:rFonts w:ascii="宋体"/>
          <w:bCs/>
        </w:rPr>
      </w:pPr>
    </w:p>
    <w:p w14:paraId="2454D4D2">
      <w:pPr>
        <w:tabs>
          <w:tab w:val="right" w:pos="9180"/>
        </w:tabs>
        <w:snapToGrid w:val="0"/>
        <w:spacing w:line="360" w:lineRule="auto"/>
        <w:ind w:firstLine="435"/>
        <w:jc w:val="right"/>
        <w:rPr>
          <w:b/>
        </w:rPr>
      </w:pPr>
      <w:r>
        <w:rPr>
          <w:rFonts w:hint="eastAsia"/>
          <w:b/>
        </w:rPr>
        <w:t>广东群升招标代理有限公司汕头分公司</w:t>
      </w:r>
    </w:p>
    <w:p w14:paraId="4F52665C">
      <w:pPr>
        <w:snapToGrid w:val="0"/>
        <w:spacing w:line="360" w:lineRule="auto"/>
        <w:ind w:firstLine="435"/>
        <w:jc w:val="right"/>
        <w:rPr>
          <w:rFonts w:ascii="宋体" w:hAnsi="宋体"/>
          <w:b/>
        </w:rPr>
      </w:pPr>
      <w:r>
        <w:rPr>
          <w:rFonts w:hint="eastAsia" w:ascii="宋体" w:hAnsi="宋体"/>
          <w:b/>
        </w:rPr>
        <w:t>20</w:t>
      </w:r>
      <w:r>
        <w:rPr>
          <w:rFonts w:hint="eastAsia" w:ascii="宋体" w:hAnsi="宋体"/>
          <w:b/>
          <w:lang w:val="en-US" w:eastAsia="zh-CN"/>
        </w:rPr>
        <w:t>24</w:t>
      </w:r>
      <w:r>
        <w:rPr>
          <w:rFonts w:hint="eastAsia" w:ascii="宋体" w:hAnsi="宋体"/>
          <w:b/>
        </w:rPr>
        <w:t>年</w:t>
      </w:r>
      <w:r>
        <w:rPr>
          <w:rFonts w:hint="eastAsia" w:ascii="宋体" w:hAnsi="宋体"/>
          <w:b/>
          <w:lang w:val="en-US" w:eastAsia="zh-CN"/>
        </w:rPr>
        <w:t>12月24</w:t>
      </w:r>
      <w:r>
        <w:rPr>
          <w:rFonts w:hint="eastAsia" w:ascii="宋体" w:hAnsi="宋体"/>
          <w:b/>
        </w:rPr>
        <w:t>日</w:t>
      </w:r>
    </w:p>
    <w:p w14:paraId="7DDB6499">
      <w:pPr>
        <w:autoSpaceDE/>
        <w:autoSpaceDN/>
        <w:snapToGrid w:val="0"/>
        <w:spacing w:line="360" w:lineRule="auto"/>
        <w:jc w:val="center"/>
        <w:outlineLvl w:val="0"/>
      </w:pPr>
      <w:r>
        <w:rPr>
          <w:rFonts w:ascii="宋体" w:hAnsi="宋体"/>
          <w:b/>
        </w:rPr>
        <w:br w:type="page"/>
      </w:r>
      <w:bookmarkStart w:id="3" w:name="_Toc410736129"/>
      <w:bookmarkStart w:id="4" w:name="_Toc416771319"/>
      <w:bookmarkStart w:id="5" w:name="_Toc416770209"/>
      <w:bookmarkStart w:id="6" w:name="_Toc13243"/>
      <w:r>
        <w:rPr>
          <w:rFonts w:ascii="仿宋_GB2312" w:eastAsia="仿宋_GB2312"/>
          <w:b/>
          <w:bCs/>
          <w:sz w:val="28"/>
          <w:szCs w:val="28"/>
        </w:rPr>
        <w:t>第</w:t>
      </w:r>
      <w:r>
        <w:rPr>
          <w:rFonts w:hint="eastAsia" w:ascii="仿宋_GB2312" w:eastAsia="仿宋_GB2312"/>
          <w:b/>
          <w:bCs/>
          <w:sz w:val="28"/>
          <w:szCs w:val="28"/>
        </w:rPr>
        <w:t>二</w:t>
      </w:r>
      <w:r>
        <w:rPr>
          <w:rFonts w:ascii="仿宋_GB2312" w:eastAsia="仿宋_GB2312"/>
          <w:b/>
          <w:bCs/>
          <w:sz w:val="28"/>
          <w:szCs w:val="28"/>
        </w:rPr>
        <w:t>章  磋商资料表</w:t>
      </w:r>
      <w:bookmarkEnd w:id="3"/>
      <w:bookmarkEnd w:id="4"/>
      <w:bookmarkEnd w:id="5"/>
      <w:bookmarkEnd w:id="6"/>
    </w:p>
    <w:p w14:paraId="44D4E892">
      <w:pPr>
        <w:spacing w:line="360" w:lineRule="auto"/>
        <w:ind w:right="-1" w:firstLine="316" w:firstLineChars="150"/>
        <w:rPr>
          <w:b/>
        </w:rPr>
      </w:pPr>
      <w:r>
        <w:rPr>
          <w:rFonts w:hint="eastAsia"/>
          <w:b/>
        </w:rPr>
        <w:t>该资料表的条款项号是与第七章《磋商须知》条款项号对应的，或增加的条款，是对第七章《磋商须知》的补充、修改和完善，如果有矛盾的话，应以本资料表为准。</w:t>
      </w:r>
    </w:p>
    <w:tbl>
      <w:tblPr>
        <w:tblStyle w:val="13"/>
        <w:tblW w:w="918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64"/>
        <w:gridCol w:w="8016"/>
      </w:tblGrid>
      <w:tr w14:paraId="22C9BD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blHeader/>
        </w:trPr>
        <w:tc>
          <w:tcPr>
            <w:tcW w:w="1164" w:type="dxa"/>
            <w:vAlign w:val="center"/>
          </w:tcPr>
          <w:p w14:paraId="0303A73C">
            <w:pPr>
              <w:snapToGrid w:val="0"/>
              <w:spacing w:line="340" w:lineRule="exact"/>
              <w:jc w:val="center"/>
              <w:rPr>
                <w:rFonts w:ascii="宋体" w:hAnsi="宋体"/>
                <w:b/>
              </w:rPr>
            </w:pPr>
            <w:r>
              <w:rPr>
                <w:rFonts w:ascii="宋体" w:hAnsi="宋体"/>
                <w:b/>
              </w:rPr>
              <w:t>条款</w:t>
            </w:r>
            <w:r>
              <w:rPr>
                <w:rFonts w:hint="eastAsia" w:ascii="宋体" w:hAnsi="宋体"/>
                <w:b/>
              </w:rPr>
              <w:t>项号</w:t>
            </w:r>
          </w:p>
        </w:tc>
        <w:tc>
          <w:tcPr>
            <w:tcW w:w="8016" w:type="dxa"/>
            <w:vAlign w:val="center"/>
          </w:tcPr>
          <w:p w14:paraId="21BC83B9">
            <w:pPr>
              <w:snapToGrid w:val="0"/>
              <w:spacing w:line="340" w:lineRule="exact"/>
              <w:jc w:val="center"/>
              <w:rPr>
                <w:rFonts w:ascii="宋体" w:hAnsi="宋体"/>
                <w:b/>
              </w:rPr>
            </w:pPr>
            <w:r>
              <w:rPr>
                <w:rFonts w:ascii="宋体" w:hAnsi="宋体"/>
                <w:b/>
              </w:rPr>
              <w:t>内     容</w:t>
            </w:r>
          </w:p>
        </w:tc>
      </w:tr>
      <w:tr w14:paraId="58A2A0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180" w:type="dxa"/>
            <w:gridSpan w:val="2"/>
            <w:vAlign w:val="center"/>
          </w:tcPr>
          <w:p w14:paraId="6FB00D32">
            <w:pPr>
              <w:snapToGrid w:val="0"/>
              <w:spacing w:line="340" w:lineRule="exact"/>
              <w:jc w:val="center"/>
              <w:rPr>
                <w:rFonts w:ascii="宋体" w:hAnsi="宋体"/>
                <w:b/>
              </w:rPr>
            </w:pPr>
            <w:r>
              <w:rPr>
                <w:rFonts w:ascii="宋体" w:hAnsi="宋体"/>
                <w:b/>
              </w:rPr>
              <w:t>一、说明</w:t>
            </w:r>
          </w:p>
        </w:tc>
      </w:tr>
      <w:tr w14:paraId="628B86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1164" w:type="dxa"/>
            <w:shd w:val="clear" w:color="auto" w:fill="auto"/>
            <w:vAlign w:val="center"/>
          </w:tcPr>
          <w:p w14:paraId="4FF1E824">
            <w:pPr>
              <w:snapToGrid w:val="0"/>
              <w:spacing w:line="340" w:lineRule="exact"/>
              <w:jc w:val="center"/>
              <w:rPr>
                <w:rFonts w:ascii="宋体" w:hAnsi="宋体"/>
              </w:rPr>
            </w:pPr>
            <w:r>
              <w:rPr>
                <w:rFonts w:ascii="宋体" w:hAnsi="宋体"/>
              </w:rPr>
              <w:t>2</w:t>
            </w:r>
            <w:r>
              <w:rPr>
                <w:rFonts w:hint="eastAsia" w:ascii="宋体" w:hAnsi="宋体"/>
              </w:rPr>
              <w:t>.2</w:t>
            </w:r>
          </w:p>
        </w:tc>
        <w:tc>
          <w:tcPr>
            <w:tcW w:w="8016" w:type="dxa"/>
            <w:vAlign w:val="center"/>
          </w:tcPr>
          <w:p w14:paraId="6B52B0B9">
            <w:pPr>
              <w:snapToGrid w:val="0"/>
              <w:spacing w:line="340" w:lineRule="exact"/>
              <w:jc w:val="both"/>
              <w:rPr>
                <w:rFonts w:hint="eastAsia" w:ascii="宋体" w:hAnsi="宋体" w:eastAsia="宋体"/>
                <w:lang w:eastAsia="zh-CN"/>
              </w:rPr>
            </w:pPr>
            <w:r>
              <w:rPr>
                <w:rFonts w:ascii="宋体" w:hAnsi="宋体"/>
              </w:rPr>
              <w:t>采购人名称：</w:t>
            </w:r>
            <w:r>
              <w:rPr>
                <w:rFonts w:hint="eastAsia" w:ascii="宋体" w:hAnsi="宋体"/>
                <w:kern w:val="28"/>
                <w:lang w:eastAsia="zh-CN"/>
              </w:rPr>
              <w:t>南澳县海防史博物馆</w:t>
            </w:r>
          </w:p>
          <w:p w14:paraId="200F0A31">
            <w:pPr>
              <w:snapToGrid w:val="0"/>
              <w:spacing w:line="340" w:lineRule="exact"/>
              <w:jc w:val="both"/>
              <w:rPr>
                <w:rFonts w:ascii="宋体" w:hAnsi="宋体" w:cs="宋体"/>
              </w:rPr>
            </w:pPr>
            <w:r>
              <w:rPr>
                <w:rFonts w:hint="eastAsia" w:ascii="宋体" w:hAnsi="宋体" w:cs="宋体"/>
              </w:rPr>
              <w:t>资金来源：财政性资金</w:t>
            </w:r>
          </w:p>
        </w:tc>
      </w:tr>
      <w:tr w14:paraId="78B643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1164" w:type="dxa"/>
            <w:vAlign w:val="center"/>
          </w:tcPr>
          <w:p w14:paraId="36EE2FED">
            <w:pPr>
              <w:snapToGrid w:val="0"/>
              <w:spacing w:line="340" w:lineRule="exact"/>
              <w:jc w:val="center"/>
              <w:rPr>
                <w:rFonts w:ascii="宋体" w:hAnsi="宋体"/>
              </w:rPr>
            </w:pPr>
            <w:r>
              <w:rPr>
                <w:rFonts w:hint="eastAsia" w:ascii="宋体" w:hAnsi="宋体"/>
              </w:rPr>
              <w:t>2.3</w:t>
            </w:r>
          </w:p>
        </w:tc>
        <w:tc>
          <w:tcPr>
            <w:tcW w:w="8016" w:type="dxa"/>
            <w:vAlign w:val="center"/>
          </w:tcPr>
          <w:p w14:paraId="30C4C75F">
            <w:pPr>
              <w:snapToGrid w:val="0"/>
              <w:spacing w:line="340" w:lineRule="exact"/>
              <w:jc w:val="both"/>
              <w:rPr>
                <w:rFonts w:ascii="宋体" w:hAnsi="宋体"/>
              </w:rPr>
            </w:pPr>
            <w:r>
              <w:rPr>
                <w:rFonts w:ascii="宋体" w:hAnsi="宋体"/>
              </w:rPr>
              <w:t>采购代理机构：</w:t>
            </w:r>
            <w:r>
              <w:rPr>
                <w:rFonts w:hint="eastAsia" w:ascii="宋体" w:hAnsi="宋体"/>
              </w:rPr>
              <w:t>广东群升招标代理有限公司汕头分公司</w:t>
            </w:r>
          </w:p>
          <w:p w14:paraId="0E63D4C8">
            <w:pPr>
              <w:rPr>
                <w:rFonts w:ascii="宋体" w:hAnsi="宋体"/>
                <w:color w:val="FF0000"/>
              </w:rPr>
            </w:pPr>
            <w:r>
              <w:rPr>
                <w:rFonts w:hint="eastAsia" w:ascii="宋体" w:hAnsi="宋体"/>
              </w:rPr>
              <w:t>联系人：张小姐          联系电话：0754-88896000</w:t>
            </w:r>
          </w:p>
          <w:p w14:paraId="6C202055">
            <w:pPr>
              <w:snapToGrid w:val="0"/>
              <w:spacing w:line="340" w:lineRule="exact"/>
              <w:jc w:val="both"/>
              <w:rPr>
                <w:rFonts w:ascii="宋体" w:hAnsi="宋体"/>
              </w:rPr>
            </w:pPr>
            <w:r>
              <w:rPr>
                <w:rFonts w:hint="eastAsia" w:ascii="宋体" w:hAnsi="宋体"/>
              </w:rPr>
              <w:t>联系部门：项目部       联系地址：汕头市龙湖区衡山路锦龙商业大厦10楼1001-1002单位</w:t>
            </w:r>
            <w:r>
              <w:rPr>
                <w:rFonts w:ascii="宋体" w:hAnsi="宋体"/>
              </w:rPr>
              <w:t>。</w:t>
            </w:r>
          </w:p>
        </w:tc>
      </w:tr>
      <w:tr w14:paraId="6871C0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9180" w:type="dxa"/>
            <w:gridSpan w:val="2"/>
            <w:vAlign w:val="center"/>
          </w:tcPr>
          <w:p w14:paraId="61CF0976">
            <w:pPr>
              <w:snapToGrid w:val="0"/>
              <w:spacing w:line="340" w:lineRule="exact"/>
              <w:jc w:val="center"/>
              <w:rPr>
                <w:rFonts w:ascii="宋体" w:hAnsi="宋体"/>
              </w:rPr>
            </w:pPr>
            <w:r>
              <w:rPr>
                <w:rFonts w:hint="eastAsia" w:ascii="宋体" w:hAnsi="宋体"/>
                <w:b/>
              </w:rPr>
              <w:t>二、竞争性磋商文件</w:t>
            </w:r>
          </w:p>
        </w:tc>
      </w:tr>
      <w:tr w14:paraId="48D1D2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1164" w:type="dxa"/>
            <w:vAlign w:val="center"/>
          </w:tcPr>
          <w:p w14:paraId="309F817D">
            <w:pPr>
              <w:snapToGrid w:val="0"/>
              <w:spacing w:line="340" w:lineRule="exact"/>
              <w:jc w:val="center"/>
              <w:rPr>
                <w:rFonts w:ascii="宋体" w:hAnsi="宋体"/>
              </w:rPr>
            </w:pPr>
            <w:r>
              <w:rPr>
                <w:rFonts w:hint="eastAsia" w:ascii="宋体" w:hAnsi="宋体"/>
              </w:rPr>
              <w:t>9</w:t>
            </w:r>
            <w:r>
              <w:rPr>
                <w:rFonts w:ascii="宋体" w:hAnsi="宋体"/>
              </w:rPr>
              <w:t>.</w:t>
            </w:r>
            <w:r>
              <w:rPr>
                <w:rFonts w:hint="eastAsia" w:ascii="宋体" w:hAnsi="宋体"/>
              </w:rPr>
              <w:t>1</w:t>
            </w:r>
          </w:p>
        </w:tc>
        <w:tc>
          <w:tcPr>
            <w:tcW w:w="8016" w:type="dxa"/>
            <w:vAlign w:val="center"/>
          </w:tcPr>
          <w:p w14:paraId="72B9F291">
            <w:pPr>
              <w:snapToGrid w:val="0"/>
              <w:spacing w:line="340" w:lineRule="exact"/>
              <w:rPr>
                <w:rFonts w:ascii="宋体" w:hAnsi="宋体"/>
              </w:rPr>
            </w:pPr>
            <w:r>
              <w:rPr>
                <w:rFonts w:hint="eastAsia" w:ascii="宋体" w:hAnsi="宋体"/>
              </w:rPr>
              <w:t>集中答疑会或现场考察：不举行。</w:t>
            </w:r>
          </w:p>
        </w:tc>
      </w:tr>
      <w:tr w14:paraId="1C91A0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9180" w:type="dxa"/>
            <w:gridSpan w:val="2"/>
            <w:vAlign w:val="center"/>
          </w:tcPr>
          <w:p w14:paraId="0D22A165">
            <w:pPr>
              <w:snapToGrid w:val="0"/>
              <w:spacing w:line="340" w:lineRule="exact"/>
              <w:jc w:val="center"/>
              <w:rPr>
                <w:rFonts w:ascii="宋体" w:hAnsi="宋体"/>
                <w:b/>
              </w:rPr>
            </w:pPr>
            <w:r>
              <w:rPr>
                <w:rFonts w:ascii="宋体" w:hAnsi="宋体"/>
                <w:b/>
              </w:rPr>
              <w:t>三、响应文件的编制</w:t>
            </w:r>
          </w:p>
        </w:tc>
      </w:tr>
      <w:tr w14:paraId="44C31A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vAlign w:val="center"/>
          </w:tcPr>
          <w:p w14:paraId="1685862B">
            <w:pPr>
              <w:snapToGrid w:val="0"/>
              <w:spacing w:line="340" w:lineRule="exact"/>
              <w:jc w:val="center"/>
              <w:rPr>
                <w:rFonts w:ascii="宋体" w:hAnsi="宋体"/>
              </w:rPr>
            </w:pPr>
            <w:r>
              <w:rPr>
                <w:rFonts w:hint="eastAsia" w:ascii="宋体" w:hAnsi="宋体"/>
              </w:rPr>
              <w:t>13.2</w:t>
            </w:r>
          </w:p>
        </w:tc>
        <w:tc>
          <w:tcPr>
            <w:tcW w:w="8016" w:type="dxa"/>
            <w:vAlign w:val="center"/>
          </w:tcPr>
          <w:p w14:paraId="009A6C15">
            <w:pPr>
              <w:snapToGrid w:val="0"/>
              <w:spacing w:line="340" w:lineRule="exact"/>
              <w:rPr>
                <w:rFonts w:ascii="宋体" w:hAnsi="宋体"/>
              </w:rPr>
            </w:pPr>
            <w:r>
              <w:rPr>
                <w:rFonts w:hint="eastAsia" w:ascii="宋体" w:hAnsi="宋体"/>
              </w:rPr>
              <w:t>响应供应商所报的投标价在合同执行过程中是固定不变的，不得以任何理由予以变更</w:t>
            </w:r>
          </w:p>
        </w:tc>
      </w:tr>
      <w:tr w14:paraId="54B530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38035D7D">
            <w:pPr>
              <w:snapToGrid w:val="0"/>
              <w:spacing w:line="340" w:lineRule="exact"/>
              <w:jc w:val="center"/>
              <w:rPr>
                <w:rFonts w:ascii="宋体" w:hAnsi="宋体"/>
              </w:rPr>
            </w:pPr>
            <w:r>
              <w:rPr>
                <w:rFonts w:hint="eastAsia" w:ascii="宋体" w:hAnsi="宋体"/>
              </w:rPr>
              <w:t>13.3</w:t>
            </w:r>
          </w:p>
        </w:tc>
        <w:tc>
          <w:tcPr>
            <w:tcW w:w="8016" w:type="dxa"/>
            <w:shd w:val="clear" w:color="auto" w:fill="auto"/>
            <w:vAlign w:val="center"/>
          </w:tcPr>
          <w:p w14:paraId="4FDA37A3">
            <w:pPr>
              <w:snapToGrid w:val="0"/>
              <w:spacing w:line="340" w:lineRule="exact"/>
              <w:rPr>
                <w:rFonts w:ascii="宋体" w:hAnsi="宋体"/>
              </w:rPr>
            </w:pPr>
            <w:r>
              <w:rPr>
                <w:rFonts w:hint="eastAsia" w:ascii="宋体" w:hAnsi="宋体"/>
              </w:rPr>
              <w:t>不允许有备选方案</w:t>
            </w:r>
          </w:p>
        </w:tc>
      </w:tr>
      <w:tr w14:paraId="52E96A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1E5FCF17">
            <w:pPr>
              <w:snapToGrid w:val="0"/>
              <w:spacing w:line="340" w:lineRule="exact"/>
              <w:jc w:val="center"/>
              <w:rPr>
                <w:rFonts w:ascii="宋体" w:hAnsi="宋体"/>
              </w:rPr>
            </w:pPr>
            <w:r>
              <w:rPr>
                <w:rFonts w:hint="eastAsia" w:ascii="宋体" w:hAnsi="宋体"/>
              </w:rPr>
              <w:t>13.4</w:t>
            </w:r>
          </w:p>
        </w:tc>
        <w:tc>
          <w:tcPr>
            <w:tcW w:w="8016" w:type="dxa"/>
            <w:shd w:val="clear" w:color="auto" w:fill="auto"/>
            <w:vAlign w:val="center"/>
          </w:tcPr>
          <w:p w14:paraId="25B9AB91">
            <w:pPr>
              <w:snapToGrid w:val="0"/>
              <w:spacing w:line="340" w:lineRule="exact"/>
              <w:rPr>
                <w:rFonts w:ascii="宋体" w:hAnsi="宋体"/>
              </w:rPr>
            </w:pPr>
            <w:r>
              <w:rPr>
                <w:rFonts w:hint="eastAsia" w:ascii="宋体" w:hAnsi="宋体"/>
              </w:rPr>
              <w:t>不允许附加条件报价</w:t>
            </w:r>
          </w:p>
        </w:tc>
      </w:tr>
      <w:tr w14:paraId="1C39C6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0F8C831A">
            <w:pPr>
              <w:snapToGrid w:val="0"/>
              <w:spacing w:line="340" w:lineRule="exact"/>
              <w:jc w:val="center"/>
              <w:rPr>
                <w:rFonts w:ascii="宋体" w:hAnsi="宋体"/>
              </w:rPr>
            </w:pPr>
            <w:r>
              <w:rPr>
                <w:rFonts w:hint="eastAsia" w:ascii="宋体" w:hAnsi="宋体"/>
              </w:rPr>
              <w:t>13.5</w:t>
            </w:r>
          </w:p>
        </w:tc>
        <w:tc>
          <w:tcPr>
            <w:tcW w:w="8016" w:type="dxa"/>
            <w:shd w:val="clear" w:color="auto" w:fill="auto"/>
            <w:vAlign w:val="center"/>
          </w:tcPr>
          <w:p w14:paraId="55979116">
            <w:pPr>
              <w:snapToGrid w:val="0"/>
              <w:spacing w:line="340" w:lineRule="exact"/>
              <w:rPr>
                <w:rFonts w:ascii="宋体" w:hAnsi="宋体"/>
              </w:rPr>
            </w:pPr>
            <w:r>
              <w:rPr>
                <w:rFonts w:hint="eastAsia" w:ascii="宋体" w:hAnsi="宋体"/>
              </w:rPr>
              <w:t>投标报价在工程项目建设期和保修期内，完成</w:t>
            </w:r>
            <w:r>
              <w:rPr>
                <w:rFonts w:hint="eastAsia" w:ascii="宋体" w:hAnsi="宋体" w:cs="宋体"/>
              </w:rPr>
              <w:t>磋商</w:t>
            </w:r>
            <w:r>
              <w:rPr>
                <w:rFonts w:hint="eastAsia" w:ascii="宋体" w:hAnsi="宋体"/>
              </w:rPr>
              <w:t>文件规定的工作内容的各项费用。应包括：人工、材料、设备机械、管理费、措施项目费、其他项目费、规费、税金、安全生产措施费、材料检验费、利润、保险、政策性文件规定及合同包含的所有风险、责任等各项应有费用（包括人工、材料、机械等上涨风险费用）。</w:t>
            </w:r>
          </w:p>
        </w:tc>
      </w:tr>
      <w:tr w14:paraId="73CA5C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6CDC5F21">
            <w:pPr>
              <w:snapToGrid w:val="0"/>
              <w:spacing w:line="340" w:lineRule="exact"/>
              <w:jc w:val="center"/>
              <w:rPr>
                <w:rFonts w:ascii="宋体" w:hAnsi="宋体"/>
              </w:rPr>
            </w:pPr>
            <w:r>
              <w:rPr>
                <w:rFonts w:hint="eastAsia" w:ascii="宋体" w:hAnsi="宋体"/>
              </w:rPr>
              <w:t>13.6</w:t>
            </w:r>
          </w:p>
        </w:tc>
        <w:tc>
          <w:tcPr>
            <w:tcW w:w="8016" w:type="dxa"/>
            <w:shd w:val="clear" w:color="auto" w:fill="auto"/>
            <w:vAlign w:val="center"/>
          </w:tcPr>
          <w:p w14:paraId="10C5F271">
            <w:pPr>
              <w:snapToGrid w:val="0"/>
              <w:spacing w:line="340" w:lineRule="exact"/>
              <w:rPr>
                <w:rFonts w:ascii="宋体" w:hAnsi="宋体"/>
                <w:color w:val="auto"/>
              </w:rPr>
            </w:pPr>
            <w:r>
              <w:rPr>
                <w:rFonts w:hint="eastAsia" w:ascii="宋体" w:hAnsi="宋体"/>
                <w:color w:val="auto"/>
                <w:highlight w:val="none"/>
              </w:rPr>
              <w:t>承包方式：</w:t>
            </w:r>
            <w:r>
              <w:rPr>
                <w:rFonts w:hint="eastAsia" w:asciiTheme="majorEastAsia" w:hAnsiTheme="majorEastAsia" w:eastAsiaTheme="majorEastAsia" w:cstheme="majorEastAsia"/>
                <w:highlight w:val="none"/>
              </w:rPr>
              <w:t>综合单价包干</w:t>
            </w:r>
          </w:p>
        </w:tc>
      </w:tr>
      <w:tr w14:paraId="043D1A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2DA85B90">
            <w:pPr>
              <w:snapToGrid w:val="0"/>
              <w:spacing w:line="340" w:lineRule="exact"/>
              <w:jc w:val="center"/>
              <w:rPr>
                <w:rFonts w:ascii="宋体" w:hAnsi="宋体"/>
              </w:rPr>
            </w:pPr>
            <w:r>
              <w:rPr>
                <w:rFonts w:hint="eastAsia" w:ascii="宋体" w:hAnsi="宋体"/>
              </w:rPr>
              <w:t>13.6.1</w:t>
            </w:r>
          </w:p>
        </w:tc>
        <w:tc>
          <w:tcPr>
            <w:tcW w:w="8016" w:type="dxa"/>
            <w:shd w:val="clear" w:color="auto" w:fill="auto"/>
            <w:vAlign w:val="center"/>
          </w:tcPr>
          <w:p w14:paraId="3E8F3223">
            <w:pPr>
              <w:snapToGrid w:val="0"/>
              <w:spacing w:line="340" w:lineRule="exact"/>
              <w:rPr>
                <w:rFonts w:ascii="宋体" w:hAnsi="宋体"/>
                <w:color w:val="auto"/>
              </w:rPr>
            </w:pPr>
            <w:r>
              <w:rPr>
                <w:rFonts w:hint="eastAsia" w:asciiTheme="majorEastAsia" w:hAnsiTheme="majorEastAsia" w:eastAsiaTheme="majorEastAsia" w:cstheme="majorEastAsia"/>
                <w:color w:val="auto"/>
              </w:rPr>
              <w:t>根据成交确定的综合单价，工程量按实结算</w:t>
            </w:r>
            <w:r>
              <w:rPr>
                <w:rFonts w:hint="eastAsia" w:asciiTheme="majorEastAsia" w:hAnsiTheme="majorEastAsia" w:eastAsiaTheme="majorEastAsia" w:cstheme="majorEastAsia"/>
                <w:color w:val="auto"/>
                <w:lang w:eastAsia="zh-CN"/>
              </w:rPr>
              <w:t>。</w:t>
            </w:r>
          </w:p>
        </w:tc>
      </w:tr>
      <w:tr w14:paraId="6296A3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02A7670E">
            <w:pPr>
              <w:snapToGrid w:val="0"/>
              <w:spacing w:line="340" w:lineRule="exact"/>
              <w:jc w:val="center"/>
              <w:rPr>
                <w:rFonts w:ascii="宋体" w:hAnsi="宋体"/>
              </w:rPr>
            </w:pPr>
            <w:r>
              <w:rPr>
                <w:rFonts w:hint="eastAsia" w:ascii="宋体" w:hAnsi="宋体"/>
              </w:rPr>
              <w:t>13.9</w:t>
            </w:r>
          </w:p>
        </w:tc>
        <w:tc>
          <w:tcPr>
            <w:tcW w:w="8016" w:type="dxa"/>
            <w:shd w:val="clear" w:color="auto" w:fill="auto"/>
            <w:vAlign w:val="center"/>
          </w:tcPr>
          <w:p w14:paraId="250B10E1">
            <w:pPr>
              <w:snapToGrid w:val="0"/>
              <w:spacing w:line="340" w:lineRule="exact"/>
              <w:rPr>
                <w:rFonts w:ascii="宋体"/>
                <w:bCs/>
                <w:szCs w:val="20"/>
              </w:rPr>
            </w:pPr>
            <w:r>
              <w:rPr>
                <w:rFonts w:hint="eastAsia" w:ascii="宋体" w:hAnsi="宋体"/>
              </w:rPr>
              <w:t>本项目绿色施工安全防护措施费为</w:t>
            </w:r>
            <w:r>
              <w:rPr>
                <w:rFonts w:hint="eastAsia" w:ascii="宋体" w:hAnsi="宋体"/>
                <w:u w:val="single"/>
                <w:lang w:val="en-US" w:eastAsia="zh-CN"/>
              </w:rPr>
              <w:t xml:space="preserve"> 10,862.96 </w:t>
            </w:r>
            <w:r>
              <w:rPr>
                <w:rFonts w:hint="eastAsia" w:ascii="宋体" w:hAnsi="宋体"/>
              </w:rPr>
              <w:t>元，</w:t>
            </w:r>
            <w:r>
              <w:rPr>
                <w:rFonts w:hint="eastAsia" w:ascii="宋体"/>
                <w:bCs/>
                <w:lang w:val="en-US" w:eastAsia="zh-CN"/>
              </w:rPr>
              <w:t>暂估价</w:t>
            </w:r>
            <w:r>
              <w:rPr>
                <w:rFonts w:hint="eastAsia" w:ascii="宋体"/>
                <w:bCs/>
                <w:u w:val="single"/>
                <w:lang w:val="en-US" w:eastAsia="zh-CN"/>
              </w:rPr>
              <w:t xml:space="preserve"> 113,180.00 </w:t>
            </w:r>
            <w:r>
              <w:rPr>
                <w:rFonts w:hint="eastAsia" w:ascii="宋体"/>
                <w:bCs/>
                <w:u w:val="none"/>
                <w:lang w:val="en-US" w:eastAsia="zh-CN"/>
              </w:rPr>
              <w:t>元，</w:t>
            </w:r>
            <w:r>
              <w:rPr>
                <w:rFonts w:hint="eastAsia" w:ascii="宋体" w:hAnsi="宋体"/>
              </w:rPr>
              <w:t>以上费用为磋商文件固定费率金额，不列入磋商竞争范围，计入投标报价总价中。</w:t>
            </w:r>
          </w:p>
        </w:tc>
      </w:tr>
      <w:tr w14:paraId="331FA7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12A84D38">
            <w:pPr>
              <w:snapToGrid w:val="0"/>
              <w:spacing w:line="340" w:lineRule="exact"/>
              <w:jc w:val="center"/>
              <w:rPr>
                <w:rFonts w:ascii="宋体" w:hAnsi="宋体"/>
              </w:rPr>
            </w:pPr>
            <w:r>
              <w:rPr>
                <w:rFonts w:ascii="宋体" w:hAnsi="宋体"/>
              </w:rPr>
              <w:t>1</w:t>
            </w:r>
            <w:r>
              <w:rPr>
                <w:rFonts w:hint="eastAsia" w:ascii="宋体" w:hAnsi="宋体"/>
              </w:rPr>
              <w:t>7</w:t>
            </w:r>
            <w:r>
              <w:rPr>
                <w:rFonts w:ascii="宋体" w:hAnsi="宋体"/>
              </w:rPr>
              <w:t>.1</w:t>
            </w:r>
          </w:p>
        </w:tc>
        <w:tc>
          <w:tcPr>
            <w:tcW w:w="8016" w:type="dxa"/>
            <w:vAlign w:val="center"/>
          </w:tcPr>
          <w:p w14:paraId="05040981">
            <w:pPr>
              <w:snapToGrid w:val="0"/>
              <w:spacing w:line="340" w:lineRule="exact"/>
              <w:rPr>
                <w:rFonts w:hint="eastAsia" w:ascii="宋体" w:hAnsi="宋体"/>
                <w:lang w:eastAsia="zh-CN"/>
              </w:rPr>
            </w:pPr>
            <w:r>
              <w:rPr>
                <w:rFonts w:hint="eastAsia" w:ascii="宋体" w:hAnsi="宋体"/>
                <w:lang w:eastAsia="zh-CN"/>
              </w:rPr>
              <w:t>本项目磋商保证金按照以下方式一执行：</w:t>
            </w:r>
          </w:p>
          <w:p w14:paraId="6455D395">
            <w:pPr>
              <w:pStyle w:val="21"/>
              <w:ind w:left="0" w:leftChars="0" w:firstLine="0" w:firstLineChars="0"/>
              <w:rPr>
                <w:rFonts w:hint="default"/>
                <w:lang w:val="en-US" w:eastAsia="zh-CN"/>
              </w:rPr>
            </w:pPr>
            <w:r>
              <w:rPr>
                <w:rFonts w:hint="eastAsia"/>
                <w:lang w:val="en-US" w:eastAsia="zh-CN"/>
              </w:rPr>
              <w:t>1、方式一：本项目磋商保证金：无</w:t>
            </w:r>
          </w:p>
          <w:p w14:paraId="6DD86670">
            <w:pPr>
              <w:snapToGrid w:val="0"/>
              <w:spacing w:line="340" w:lineRule="exact"/>
              <w:rPr>
                <w:rFonts w:hint="eastAsia" w:ascii="宋体" w:hAnsi="宋体"/>
                <w:lang w:val="en-US" w:eastAsia="zh-CN"/>
              </w:rPr>
            </w:pPr>
            <w:r>
              <w:rPr>
                <w:rFonts w:hint="eastAsia" w:ascii="宋体" w:hAnsi="宋体"/>
                <w:lang w:val="en-US" w:eastAsia="zh-CN"/>
              </w:rPr>
              <w:t>2、方式二：</w:t>
            </w:r>
          </w:p>
          <w:p w14:paraId="618F33FE">
            <w:pPr>
              <w:snapToGrid w:val="0"/>
              <w:spacing w:line="340" w:lineRule="exact"/>
              <w:rPr>
                <w:rFonts w:ascii="宋体" w:hAnsi="宋体"/>
              </w:rPr>
            </w:pPr>
            <w:r>
              <w:rPr>
                <w:rFonts w:hint="eastAsia" w:ascii="宋体" w:hAnsi="宋体"/>
                <w:lang w:val="en-US" w:eastAsia="zh-CN"/>
              </w:rPr>
              <w:t>（1）</w:t>
            </w:r>
            <w:r>
              <w:rPr>
                <w:rFonts w:hint="eastAsia" w:ascii="宋体" w:hAnsi="宋体"/>
              </w:rPr>
              <w:t>响应供应商应在递交响应文件前提交本项目磋商保证金：</w:t>
            </w:r>
            <w:r>
              <w:rPr>
                <w:rFonts w:hint="eastAsia" w:ascii="宋体" w:hAnsi="宋体"/>
                <w:b/>
                <w:bCs/>
              </w:rPr>
              <w:t>人民币</w:t>
            </w:r>
            <w:r>
              <w:rPr>
                <w:rFonts w:hint="eastAsia" w:ascii="宋体" w:hAnsi="宋体"/>
                <w:b/>
                <w:bCs/>
                <w:u w:val="single"/>
                <w:lang w:val="en-US" w:eastAsia="zh-CN"/>
              </w:rPr>
              <w:t xml:space="preserve">   /   元</w:t>
            </w:r>
            <w:r>
              <w:rPr>
                <w:rFonts w:hint="eastAsia" w:ascii="宋体" w:hAnsi="宋体"/>
                <w:b/>
                <w:bCs/>
              </w:rPr>
              <w:t>，</w:t>
            </w:r>
            <w:r>
              <w:rPr>
                <w:rFonts w:hint="eastAsia" w:ascii="宋体" w:hAnsi="宋体"/>
              </w:rPr>
              <w:t>磋商保证金作为其响应文件的组成部分，磋商保证金可以采用银行转账、银行电汇或者银行、金融机构、担保机构、保险公司出具保函的方式提交。开标前汇入以下磋商保证金专用账户。</w:t>
            </w:r>
          </w:p>
          <w:p w14:paraId="07009241">
            <w:pPr>
              <w:snapToGrid w:val="0"/>
              <w:spacing w:line="340" w:lineRule="exact"/>
              <w:rPr>
                <w:rFonts w:ascii="宋体" w:hAnsi="宋体"/>
              </w:rPr>
            </w:pPr>
            <w:r>
              <w:rPr>
                <w:rFonts w:hint="eastAsia" w:ascii="宋体" w:hAnsi="宋体"/>
              </w:rPr>
              <w:t>磋商保证金专用账户如下：</w:t>
            </w:r>
          </w:p>
          <w:p w14:paraId="0CB20832">
            <w:pPr>
              <w:snapToGrid w:val="0"/>
              <w:spacing w:line="340" w:lineRule="exact"/>
              <w:rPr>
                <w:rFonts w:ascii="宋体" w:hAnsi="宋体"/>
              </w:rPr>
            </w:pPr>
            <w:r>
              <w:rPr>
                <w:rFonts w:hint="eastAsia" w:ascii="宋体" w:hAnsi="宋体"/>
              </w:rPr>
              <w:t>收款单位：广东群升招标代理有限公司汕头分公司</w:t>
            </w:r>
          </w:p>
          <w:p w14:paraId="5C61CAC3">
            <w:pPr>
              <w:snapToGrid w:val="0"/>
              <w:spacing w:line="340" w:lineRule="exact"/>
              <w:rPr>
                <w:rFonts w:ascii="宋体" w:hAnsi="宋体"/>
              </w:rPr>
            </w:pPr>
            <w:r>
              <w:rPr>
                <w:rFonts w:hint="eastAsia" w:ascii="宋体" w:hAnsi="宋体"/>
              </w:rPr>
              <w:t>开户银行：中国民生银行汕头荣兴支行</w:t>
            </w:r>
          </w:p>
          <w:p w14:paraId="4C6B399D">
            <w:pPr>
              <w:snapToGrid w:val="0"/>
              <w:spacing w:line="340" w:lineRule="exact"/>
              <w:rPr>
                <w:rFonts w:ascii="宋体" w:hAnsi="宋体"/>
                <w:b/>
                <w:bCs/>
              </w:rPr>
            </w:pPr>
            <w:r>
              <w:rPr>
                <w:rFonts w:hint="eastAsia" w:ascii="宋体" w:hAnsi="宋体"/>
                <w:b/>
                <w:bCs/>
              </w:rPr>
              <w:t>帐    号：156235731（招标代理服务费请不要汇入此账号）</w:t>
            </w:r>
          </w:p>
          <w:p w14:paraId="65B68D59">
            <w:pPr>
              <w:snapToGrid w:val="0"/>
              <w:spacing w:line="340" w:lineRule="exact"/>
              <w:rPr>
                <w:rFonts w:ascii="宋体" w:hAnsi="宋体"/>
              </w:rPr>
            </w:pPr>
            <w:r>
              <w:rPr>
                <w:rFonts w:hint="eastAsia" w:ascii="宋体" w:hAnsi="宋体"/>
                <w:lang w:eastAsia="zh-CN"/>
              </w:rPr>
              <w:t>（</w:t>
            </w:r>
            <w:r>
              <w:rPr>
                <w:rFonts w:hint="eastAsia" w:ascii="宋体" w:hAnsi="宋体"/>
                <w:lang w:val="en-US" w:eastAsia="zh-CN"/>
              </w:rPr>
              <w:t>2</w:t>
            </w:r>
            <w:r>
              <w:rPr>
                <w:rFonts w:hint="eastAsia" w:ascii="宋体" w:hAnsi="宋体"/>
                <w:lang w:eastAsia="zh-CN"/>
              </w:rPr>
              <w:t>）</w:t>
            </w:r>
            <w:r>
              <w:rPr>
                <w:rFonts w:hint="eastAsia" w:ascii="宋体" w:hAnsi="宋体"/>
              </w:rPr>
              <w:t>磋商保证金采用银行、金融机构、担保机构、保险公司出具保函的方式提交的，保函有效期应自项目磋商之日起不低于90天，并且确保于开标前将原件递交至采购代理机构工作人员手中。</w:t>
            </w:r>
          </w:p>
          <w:p w14:paraId="697BF780">
            <w:pPr>
              <w:widowControl/>
              <w:autoSpaceDE/>
              <w:autoSpaceDN/>
              <w:adjustRightInd/>
              <w:rPr>
                <w:rFonts w:ascii="宋体" w:hAnsi="宋体"/>
                <w:bCs/>
              </w:rPr>
            </w:pPr>
            <w:r>
              <w:rPr>
                <w:rFonts w:hint="eastAsia" w:ascii="宋体" w:hAnsi="宋体"/>
              </w:rPr>
              <w:t>保函递交地点：汕头市龙湖区衡山路锦龙商业大厦10楼1001-1002单位</w:t>
            </w:r>
          </w:p>
        </w:tc>
      </w:tr>
      <w:tr w14:paraId="254517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4E1B550D">
            <w:pPr>
              <w:snapToGrid w:val="0"/>
              <w:spacing w:line="340" w:lineRule="exact"/>
              <w:jc w:val="center"/>
              <w:rPr>
                <w:rFonts w:ascii="宋体" w:hAnsi="宋体"/>
              </w:rPr>
            </w:pPr>
            <w:r>
              <w:rPr>
                <w:rFonts w:hint="eastAsia" w:ascii="宋体" w:hAnsi="宋体"/>
              </w:rPr>
              <w:t>18</w:t>
            </w:r>
            <w:r>
              <w:rPr>
                <w:rFonts w:ascii="宋体" w:hAnsi="宋体"/>
              </w:rPr>
              <w:t>.1</w:t>
            </w:r>
          </w:p>
        </w:tc>
        <w:tc>
          <w:tcPr>
            <w:tcW w:w="8016" w:type="dxa"/>
            <w:vAlign w:val="center"/>
          </w:tcPr>
          <w:p w14:paraId="0EAEA91F">
            <w:pPr>
              <w:snapToGrid w:val="0"/>
              <w:spacing w:line="340" w:lineRule="exact"/>
              <w:rPr>
                <w:rFonts w:ascii="宋体" w:hAnsi="宋体"/>
              </w:rPr>
            </w:pPr>
            <w:r>
              <w:rPr>
                <w:rFonts w:ascii="宋体" w:hAnsi="宋体"/>
              </w:rPr>
              <w:t>磋商有效期：90天</w:t>
            </w:r>
            <w:r>
              <w:rPr>
                <w:rFonts w:hint="eastAsia" w:ascii="宋体" w:hAnsi="宋体"/>
              </w:rPr>
              <w:t>。</w:t>
            </w:r>
          </w:p>
        </w:tc>
      </w:tr>
      <w:tr w14:paraId="5AACF7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216DC41D">
            <w:pPr>
              <w:snapToGrid w:val="0"/>
              <w:spacing w:line="340" w:lineRule="exact"/>
              <w:jc w:val="center"/>
              <w:rPr>
                <w:rFonts w:ascii="宋体" w:hAnsi="宋体"/>
              </w:rPr>
            </w:pPr>
            <w:r>
              <w:rPr>
                <w:rFonts w:hint="eastAsia" w:ascii="宋体" w:hAnsi="宋体"/>
              </w:rPr>
              <w:t>19</w:t>
            </w:r>
            <w:r>
              <w:rPr>
                <w:rFonts w:ascii="宋体" w:hAnsi="宋体"/>
              </w:rPr>
              <w:t>.1</w:t>
            </w:r>
          </w:p>
        </w:tc>
        <w:tc>
          <w:tcPr>
            <w:tcW w:w="8016" w:type="dxa"/>
            <w:vAlign w:val="center"/>
          </w:tcPr>
          <w:p w14:paraId="3D5ADD28">
            <w:pPr>
              <w:snapToGrid w:val="0"/>
              <w:spacing w:line="340" w:lineRule="exact"/>
              <w:rPr>
                <w:rFonts w:ascii="宋体" w:hAnsi="宋体"/>
              </w:rPr>
            </w:pPr>
            <w:r>
              <w:rPr>
                <w:rFonts w:ascii="宋体" w:hAnsi="宋体"/>
              </w:rPr>
              <w:t>响应文件份数：正本一份，副本</w:t>
            </w:r>
            <w:r>
              <w:rPr>
                <w:rFonts w:hint="eastAsia" w:ascii="宋体" w:hAnsi="宋体"/>
              </w:rPr>
              <w:t>三</w:t>
            </w:r>
            <w:r>
              <w:rPr>
                <w:rFonts w:ascii="宋体" w:hAnsi="宋体"/>
              </w:rPr>
              <w:t>份，电子文件</w:t>
            </w:r>
            <w:r>
              <w:rPr>
                <w:rFonts w:hint="eastAsia" w:ascii="宋体" w:hAnsi="宋体"/>
              </w:rPr>
              <w:t>一</w:t>
            </w:r>
            <w:r>
              <w:rPr>
                <w:rFonts w:ascii="宋体" w:hAnsi="宋体"/>
              </w:rPr>
              <w:t>份</w:t>
            </w:r>
            <w:r>
              <w:rPr>
                <w:rFonts w:hint="eastAsia" w:ascii="宋体" w:hAnsi="宋体"/>
              </w:rPr>
              <w:t>（不可加密）</w:t>
            </w:r>
            <w:r>
              <w:rPr>
                <w:rFonts w:ascii="宋体" w:hAnsi="宋体"/>
              </w:rPr>
              <w:t>。</w:t>
            </w:r>
          </w:p>
        </w:tc>
      </w:tr>
      <w:tr w14:paraId="6A4B2A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180" w:type="dxa"/>
            <w:gridSpan w:val="2"/>
            <w:vAlign w:val="center"/>
          </w:tcPr>
          <w:p w14:paraId="6E6EE0D2">
            <w:pPr>
              <w:snapToGrid w:val="0"/>
              <w:spacing w:line="340" w:lineRule="exact"/>
              <w:jc w:val="center"/>
              <w:rPr>
                <w:rFonts w:ascii="宋体" w:hAnsi="宋体"/>
                <w:b/>
              </w:rPr>
            </w:pPr>
            <w:r>
              <w:rPr>
                <w:rFonts w:ascii="宋体" w:hAnsi="宋体"/>
                <w:b/>
              </w:rPr>
              <w:t>四、响应文件的递交</w:t>
            </w:r>
          </w:p>
        </w:tc>
      </w:tr>
      <w:tr w14:paraId="2ACDB8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0FFB97EA">
            <w:pPr>
              <w:snapToGrid w:val="0"/>
              <w:spacing w:line="340" w:lineRule="exact"/>
              <w:jc w:val="center"/>
              <w:rPr>
                <w:rFonts w:ascii="宋体" w:hAnsi="宋体"/>
              </w:rPr>
            </w:pPr>
            <w:r>
              <w:rPr>
                <w:rFonts w:ascii="宋体" w:hAnsi="宋体"/>
              </w:rPr>
              <w:t>2</w:t>
            </w:r>
            <w:r>
              <w:rPr>
                <w:rFonts w:hint="eastAsia" w:ascii="宋体" w:hAnsi="宋体"/>
              </w:rPr>
              <w:t>1.</w:t>
            </w:r>
            <w:r>
              <w:rPr>
                <w:rFonts w:ascii="宋体" w:hAnsi="宋体"/>
              </w:rPr>
              <w:t>1</w:t>
            </w:r>
          </w:p>
        </w:tc>
        <w:tc>
          <w:tcPr>
            <w:tcW w:w="8016" w:type="dxa"/>
            <w:vAlign w:val="center"/>
          </w:tcPr>
          <w:p w14:paraId="28CF2E78">
            <w:pPr>
              <w:snapToGrid w:val="0"/>
              <w:spacing w:line="340" w:lineRule="exact"/>
              <w:rPr>
                <w:rFonts w:ascii="宋体" w:hAnsi="宋体"/>
              </w:rPr>
            </w:pPr>
            <w:r>
              <w:rPr>
                <w:rFonts w:hint="eastAsia" w:ascii="宋体" w:hAnsi="宋体"/>
              </w:rPr>
              <w:t>响应文件递交截止</w:t>
            </w:r>
            <w:r>
              <w:rPr>
                <w:rFonts w:ascii="宋体" w:hAnsi="宋体"/>
              </w:rPr>
              <w:t>日期</w:t>
            </w:r>
            <w:r>
              <w:rPr>
                <w:rFonts w:hint="eastAsia" w:ascii="宋体" w:hAnsi="宋体"/>
              </w:rPr>
              <w:t>、</w:t>
            </w:r>
            <w:r>
              <w:rPr>
                <w:rFonts w:ascii="宋体" w:hAnsi="宋体"/>
              </w:rPr>
              <w:t>时间</w:t>
            </w:r>
            <w:r>
              <w:rPr>
                <w:rFonts w:hint="eastAsia" w:ascii="宋体" w:hAnsi="宋体"/>
              </w:rPr>
              <w:t>和</w:t>
            </w:r>
            <w:r>
              <w:rPr>
                <w:rFonts w:ascii="宋体" w:hAnsi="宋体"/>
              </w:rPr>
              <w:t>地点：</w:t>
            </w:r>
            <w:r>
              <w:rPr>
                <w:rFonts w:hint="eastAsia" w:ascii="宋体" w:hAnsi="宋体"/>
              </w:rPr>
              <w:t>按竞争性磋商文件第一章规定。</w:t>
            </w:r>
          </w:p>
        </w:tc>
      </w:tr>
      <w:tr w14:paraId="38C7C5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180" w:type="dxa"/>
            <w:gridSpan w:val="2"/>
            <w:vAlign w:val="center"/>
          </w:tcPr>
          <w:p w14:paraId="6DDF1F9D">
            <w:pPr>
              <w:snapToGrid w:val="0"/>
              <w:spacing w:line="340" w:lineRule="exact"/>
              <w:jc w:val="center"/>
              <w:rPr>
                <w:rFonts w:ascii="宋体" w:hAnsi="宋体"/>
              </w:rPr>
            </w:pPr>
            <w:r>
              <w:rPr>
                <w:rFonts w:ascii="宋体" w:hAnsi="宋体"/>
                <w:b/>
              </w:rPr>
              <w:t>五、</w:t>
            </w:r>
            <w:r>
              <w:rPr>
                <w:rFonts w:hint="eastAsia" w:ascii="宋体" w:hAnsi="宋体"/>
                <w:b/>
              </w:rPr>
              <w:t>竞争性磋商流程</w:t>
            </w:r>
          </w:p>
        </w:tc>
      </w:tr>
      <w:tr w14:paraId="767308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38AAC960">
            <w:pPr>
              <w:snapToGrid w:val="0"/>
              <w:spacing w:line="340" w:lineRule="exact"/>
              <w:jc w:val="center"/>
              <w:rPr>
                <w:rFonts w:ascii="宋体" w:hAnsi="宋体"/>
              </w:rPr>
            </w:pPr>
            <w:r>
              <w:rPr>
                <w:rFonts w:ascii="宋体" w:hAnsi="宋体"/>
              </w:rPr>
              <w:t>2</w:t>
            </w:r>
            <w:r>
              <w:rPr>
                <w:rFonts w:hint="eastAsia" w:ascii="宋体" w:hAnsi="宋体"/>
              </w:rPr>
              <w:t>4</w:t>
            </w:r>
            <w:r>
              <w:rPr>
                <w:rFonts w:ascii="宋体" w:hAnsi="宋体"/>
              </w:rPr>
              <w:t>.1</w:t>
            </w:r>
          </w:p>
        </w:tc>
        <w:tc>
          <w:tcPr>
            <w:tcW w:w="8016" w:type="dxa"/>
            <w:vAlign w:val="center"/>
          </w:tcPr>
          <w:p w14:paraId="1232361C">
            <w:pPr>
              <w:snapToGrid w:val="0"/>
              <w:spacing w:line="340" w:lineRule="exact"/>
              <w:rPr>
                <w:rFonts w:ascii="宋体" w:hAnsi="宋体"/>
              </w:rPr>
            </w:pPr>
            <w:r>
              <w:rPr>
                <w:rFonts w:hint="eastAsia" w:ascii="宋体" w:hAnsi="宋体" w:cs="宋体"/>
              </w:rPr>
              <w:t>本次磋商</w:t>
            </w:r>
            <w:r>
              <w:rPr>
                <w:rFonts w:hint="eastAsia" w:ascii="宋体" w:hAnsi="宋体" w:cs="宋体"/>
                <w:lang w:eastAsia="zh-TW"/>
              </w:rPr>
              <w:t>依法组建</w:t>
            </w:r>
            <w:r>
              <w:rPr>
                <w:rFonts w:hint="eastAsia" w:ascii="宋体" w:hAnsi="宋体" w:cs="宋体"/>
              </w:rPr>
              <w:t>磋商小组</w:t>
            </w:r>
            <w:r>
              <w:rPr>
                <w:rFonts w:hint="eastAsia" w:ascii="宋体" w:hAnsi="宋体" w:cs="宋体"/>
                <w:lang w:eastAsia="zh-TW"/>
              </w:rPr>
              <w:t>，</w:t>
            </w:r>
            <w:r>
              <w:rPr>
                <w:rFonts w:hint="eastAsia" w:ascii="宋体" w:hAnsi="宋体"/>
                <w:bCs/>
              </w:rPr>
              <w:t>磋商小组人数</w:t>
            </w:r>
            <w:r>
              <w:rPr>
                <w:rFonts w:hint="eastAsia" w:ascii="宋体" w:hAnsi="宋体" w:cs="宋体"/>
                <w:lang w:val="zh-CN"/>
              </w:rPr>
              <w:t>为3名单数</w:t>
            </w:r>
          </w:p>
        </w:tc>
      </w:tr>
      <w:tr w14:paraId="23D0D9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72" w:hRule="atLeast"/>
        </w:trPr>
        <w:tc>
          <w:tcPr>
            <w:tcW w:w="1164" w:type="dxa"/>
            <w:vAlign w:val="center"/>
          </w:tcPr>
          <w:p w14:paraId="6EDEF8E1">
            <w:pPr>
              <w:snapToGrid w:val="0"/>
              <w:spacing w:line="340" w:lineRule="exact"/>
              <w:jc w:val="center"/>
              <w:rPr>
                <w:rFonts w:ascii="宋体" w:hAnsi="宋体"/>
              </w:rPr>
            </w:pPr>
            <w:r>
              <w:rPr>
                <w:rFonts w:hint="eastAsia" w:ascii="宋体" w:hAnsi="宋体"/>
              </w:rPr>
              <w:t>27.1</w:t>
            </w:r>
          </w:p>
        </w:tc>
        <w:tc>
          <w:tcPr>
            <w:tcW w:w="8016" w:type="dxa"/>
            <w:vAlign w:val="center"/>
          </w:tcPr>
          <w:p w14:paraId="12F52D30">
            <w:pPr>
              <w:snapToGrid w:val="0"/>
              <w:spacing w:line="340" w:lineRule="exact"/>
              <w:rPr>
                <w:rFonts w:ascii="宋体" w:hAnsi="宋体" w:cs="宋体"/>
              </w:rPr>
            </w:pPr>
            <w:r>
              <w:rPr>
                <w:rFonts w:hint="eastAsia" w:ascii="宋体" w:hAnsi="宋体"/>
                <w:bCs/>
              </w:rPr>
              <w:t>评审方法：经磋商确定最终采购需求和提交最后报价的供应商后，由磋商小组采用综合评分法对提交最后报价的供应商的响应文件和最后报价进行综合评分。</w:t>
            </w:r>
          </w:p>
        </w:tc>
      </w:tr>
      <w:tr w14:paraId="091BDA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1164" w:type="dxa"/>
            <w:shd w:val="clear" w:color="auto" w:fill="auto"/>
            <w:vAlign w:val="center"/>
          </w:tcPr>
          <w:p w14:paraId="3D6535FC">
            <w:pPr>
              <w:snapToGrid w:val="0"/>
              <w:spacing w:line="340" w:lineRule="exact"/>
              <w:jc w:val="center"/>
              <w:rPr>
                <w:rFonts w:ascii="宋体" w:hAnsi="宋体"/>
              </w:rPr>
            </w:pPr>
            <w:r>
              <w:rPr>
                <w:rFonts w:hint="eastAsia" w:ascii="宋体" w:hAnsi="宋体"/>
              </w:rPr>
              <w:t>27.2</w:t>
            </w:r>
          </w:p>
        </w:tc>
        <w:tc>
          <w:tcPr>
            <w:tcW w:w="8016" w:type="dxa"/>
            <w:vAlign w:val="center"/>
          </w:tcPr>
          <w:p w14:paraId="2EBDBC84">
            <w:pPr>
              <w:snapToGrid w:val="0"/>
              <w:spacing w:line="340" w:lineRule="exact"/>
              <w:rPr>
                <w:rFonts w:ascii="宋体" w:hAnsi="宋体"/>
              </w:rPr>
            </w:pPr>
            <w:r>
              <w:rPr>
                <w:rFonts w:hint="eastAsia" w:ascii="宋体" w:hAnsi="宋体" w:cs="宋体"/>
              </w:rPr>
              <w:t>根据综合评分情况</w:t>
            </w:r>
            <w:r>
              <w:rPr>
                <w:rFonts w:hint="eastAsia" w:ascii="宋体" w:hAnsi="宋体"/>
              </w:rPr>
              <w:t>按照评审得分由高到低推荐三名成交候选人。</w:t>
            </w:r>
          </w:p>
        </w:tc>
      </w:tr>
      <w:tr w14:paraId="7CC57B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180" w:type="dxa"/>
            <w:gridSpan w:val="2"/>
            <w:vAlign w:val="center"/>
          </w:tcPr>
          <w:p w14:paraId="744FEB1C">
            <w:pPr>
              <w:snapToGrid w:val="0"/>
              <w:spacing w:line="340" w:lineRule="exact"/>
              <w:jc w:val="center"/>
              <w:rPr>
                <w:rFonts w:ascii="宋体" w:hAnsi="宋体"/>
              </w:rPr>
            </w:pPr>
            <w:r>
              <w:rPr>
                <w:rFonts w:ascii="宋体" w:hAnsi="宋体"/>
                <w:b/>
              </w:rPr>
              <w:t>六、授予合同</w:t>
            </w:r>
          </w:p>
        </w:tc>
      </w:tr>
      <w:tr w14:paraId="13398E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6D272F2B">
            <w:pPr>
              <w:snapToGrid w:val="0"/>
              <w:spacing w:line="340" w:lineRule="exact"/>
              <w:jc w:val="center"/>
              <w:rPr>
                <w:rFonts w:ascii="宋体" w:hAnsi="宋体"/>
              </w:rPr>
            </w:pPr>
            <w:r>
              <w:rPr>
                <w:rFonts w:hint="eastAsia" w:ascii="宋体" w:hAnsi="宋体"/>
              </w:rPr>
              <w:t>30</w:t>
            </w:r>
            <w:r>
              <w:rPr>
                <w:rFonts w:ascii="宋体" w:hAnsi="宋体"/>
              </w:rPr>
              <w:t>.1</w:t>
            </w:r>
          </w:p>
        </w:tc>
        <w:tc>
          <w:tcPr>
            <w:tcW w:w="8016" w:type="dxa"/>
            <w:vAlign w:val="center"/>
          </w:tcPr>
          <w:p w14:paraId="22C39A13">
            <w:pPr>
              <w:snapToGrid w:val="0"/>
              <w:spacing w:line="340" w:lineRule="exact"/>
              <w:rPr>
                <w:rFonts w:ascii="宋体" w:hAnsi="宋体"/>
              </w:rPr>
            </w:pPr>
            <w:r>
              <w:rPr>
                <w:rFonts w:hint="eastAsia" w:ascii="宋体" w:hAnsi="宋体"/>
              </w:rPr>
              <w:t>合同签订时间：自《成交通知书》发出之日起三十日内</w:t>
            </w:r>
          </w:p>
        </w:tc>
      </w:tr>
      <w:tr w14:paraId="51790D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9180" w:type="dxa"/>
            <w:gridSpan w:val="2"/>
            <w:vAlign w:val="center"/>
          </w:tcPr>
          <w:p w14:paraId="0143E722">
            <w:pPr>
              <w:snapToGrid w:val="0"/>
              <w:spacing w:line="360" w:lineRule="exact"/>
              <w:jc w:val="center"/>
              <w:rPr>
                <w:rFonts w:ascii="宋体" w:hAnsi="宋体"/>
                <w:bCs/>
                <w:szCs w:val="20"/>
              </w:rPr>
            </w:pPr>
            <w:bookmarkStart w:id="7" w:name="_Toc410738930"/>
            <w:bookmarkEnd w:id="7"/>
            <w:bookmarkStart w:id="8" w:name="_Toc410736130"/>
            <w:bookmarkEnd w:id="8"/>
            <w:r>
              <w:rPr>
                <w:rFonts w:hint="eastAsia" w:ascii="宋体" w:hAnsi="宋体"/>
                <w:b/>
              </w:rPr>
              <w:t>其他说明</w:t>
            </w:r>
          </w:p>
        </w:tc>
      </w:tr>
      <w:tr w14:paraId="3C8CF7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5896D4DF">
            <w:pPr>
              <w:snapToGrid w:val="0"/>
              <w:spacing w:line="360" w:lineRule="exact"/>
              <w:jc w:val="center"/>
              <w:rPr>
                <w:rFonts w:ascii="宋体" w:hAnsi="宋体"/>
              </w:rPr>
            </w:pPr>
            <w:r>
              <w:rPr>
                <w:rFonts w:hint="eastAsia" w:ascii="宋体" w:hAnsi="宋体"/>
              </w:rPr>
              <w:t>/</w:t>
            </w:r>
          </w:p>
        </w:tc>
        <w:tc>
          <w:tcPr>
            <w:tcW w:w="8016" w:type="dxa"/>
            <w:vAlign w:val="center"/>
          </w:tcPr>
          <w:p w14:paraId="499E4A2B">
            <w:pPr>
              <w:snapToGrid w:val="0"/>
              <w:rPr>
                <w:rFonts w:ascii="宋体" w:hAnsi="宋体" w:cs="宋体"/>
                <w:highlight w:val="none"/>
              </w:rPr>
            </w:pPr>
            <w:r>
              <w:rPr>
                <w:rFonts w:hint="eastAsia" w:ascii="宋体" w:hAnsi="宋体"/>
                <w:bCs/>
                <w:szCs w:val="20"/>
                <w:highlight w:val="none"/>
              </w:rPr>
              <w:t>本项目相关公告在以下媒体发布:</w:t>
            </w:r>
          </w:p>
          <w:p w14:paraId="04881A21">
            <w:pPr>
              <w:snapToGrid w:val="0"/>
              <w:rPr>
                <w:rFonts w:ascii="宋体" w:hAnsi="宋体"/>
                <w:highlight w:val="none"/>
              </w:rPr>
            </w:pPr>
            <w:r>
              <w:rPr>
                <w:rFonts w:hint="eastAsia" w:ascii="宋体" w:hAnsi="宋体"/>
                <w:highlight w:val="none"/>
              </w:rPr>
              <w:t>1、采购代理机构网站（www.gdqunsheng.com）。</w:t>
            </w:r>
          </w:p>
          <w:p w14:paraId="435CE585">
            <w:pPr>
              <w:wordWrap w:val="0"/>
              <w:snapToGrid w:val="0"/>
              <w:spacing w:line="360" w:lineRule="exact"/>
              <w:rPr>
                <w:rFonts w:ascii="宋体" w:hAnsi="宋体"/>
                <w:highlight w:val="none"/>
              </w:rPr>
            </w:pPr>
            <w:r>
              <w:rPr>
                <w:rFonts w:hint="eastAsia" w:ascii="宋体" w:hAnsi="宋体"/>
                <w:highlight w:val="none"/>
              </w:rPr>
              <w:t>2、法定媒体：中国政府采购网(www.ccgp.gov.cn)</w:t>
            </w:r>
            <w:r>
              <w:rPr>
                <w:rFonts w:hint="eastAsia" w:ascii="宋体" w:hAnsi="宋体"/>
                <w:highlight w:val="none"/>
                <w:lang w:eastAsia="zh-CN"/>
              </w:rPr>
              <w:t>、中国财经报网（</w:t>
            </w:r>
            <w:r>
              <w:rPr>
                <w:rFonts w:hint="eastAsia" w:ascii="宋体" w:hAnsi="宋体"/>
                <w:highlight w:val="none"/>
                <w:lang w:val="en-US" w:eastAsia="zh-CN"/>
              </w:rPr>
              <w:t>www.cfen.com.cn</w:t>
            </w:r>
            <w:r>
              <w:rPr>
                <w:rFonts w:hint="eastAsia" w:ascii="宋体" w:hAnsi="宋体"/>
                <w:highlight w:val="none"/>
                <w:lang w:eastAsia="zh-CN"/>
              </w:rPr>
              <w:t>）</w:t>
            </w:r>
            <w:r>
              <w:rPr>
                <w:rFonts w:hint="eastAsia" w:ascii="宋体" w:hAnsi="宋体"/>
                <w:highlight w:val="none"/>
              </w:rPr>
              <w:t>。相关公告在法定媒体上公布之日即视为有效送达，不再另行通知。</w:t>
            </w:r>
          </w:p>
          <w:p w14:paraId="06FB32B0">
            <w:pPr>
              <w:wordWrap w:val="0"/>
              <w:snapToGrid w:val="0"/>
              <w:spacing w:line="360" w:lineRule="exact"/>
              <w:rPr>
                <w:rFonts w:ascii="宋体" w:hAnsi="宋体"/>
                <w:bCs/>
                <w:szCs w:val="20"/>
              </w:rPr>
            </w:pPr>
            <w:r>
              <w:rPr>
                <w:rFonts w:hint="eastAsia" w:ascii="宋体" w:hAnsi="宋体"/>
                <w:b/>
                <w:bCs/>
                <w:highlight w:val="none"/>
              </w:rPr>
              <w:t>备注：在不同媒体发布的同一政府采购信息内容、时间不一致的，以在中国政府采购网或者其省级分网发布的信息为准。同时在中国政府采购网和省级分网发布的，以在中国政府采购网上发布的信息为准。</w:t>
            </w:r>
          </w:p>
        </w:tc>
      </w:tr>
    </w:tbl>
    <w:p w14:paraId="6F4250A1">
      <w:pPr>
        <w:widowControl/>
        <w:autoSpaceDE/>
        <w:autoSpaceDN/>
        <w:adjustRightInd/>
        <w:rPr>
          <w:b/>
          <w:bCs/>
          <w:sz w:val="28"/>
          <w:szCs w:val="28"/>
        </w:rPr>
      </w:pPr>
      <w:bookmarkStart w:id="9" w:name="_Toc410736131"/>
      <w:bookmarkStart w:id="10" w:name="_Toc410738931"/>
    </w:p>
    <w:p w14:paraId="2E680B5D">
      <w:pPr>
        <w:widowControl/>
        <w:autoSpaceDE/>
        <w:autoSpaceDN/>
        <w:adjustRightInd/>
        <w:rPr>
          <w:b/>
          <w:bCs/>
          <w:sz w:val="28"/>
          <w:szCs w:val="28"/>
        </w:rPr>
      </w:pPr>
      <w:r>
        <w:rPr>
          <w:b/>
          <w:bCs/>
          <w:sz w:val="28"/>
          <w:szCs w:val="28"/>
        </w:rPr>
        <w:br w:type="page"/>
      </w:r>
    </w:p>
    <w:p w14:paraId="411125DE">
      <w:pPr>
        <w:widowControl/>
        <w:autoSpaceDE/>
        <w:autoSpaceDN/>
        <w:adjustRightInd/>
        <w:jc w:val="center"/>
        <w:outlineLvl w:val="0"/>
        <w:rPr>
          <w:b/>
          <w:bCs/>
          <w:sz w:val="28"/>
          <w:szCs w:val="28"/>
        </w:rPr>
      </w:pPr>
      <w:bookmarkStart w:id="11" w:name="_Toc32277"/>
      <w:bookmarkStart w:id="12" w:name="_Toc410738973"/>
      <w:bookmarkStart w:id="13" w:name="_Toc379872471"/>
      <w:bookmarkStart w:id="14" w:name="_Toc416771359"/>
      <w:bookmarkStart w:id="15" w:name="_Toc410736174"/>
      <w:bookmarkStart w:id="16" w:name="_Toc416770249"/>
      <w:bookmarkStart w:id="17" w:name="_Toc416770210"/>
      <w:bookmarkStart w:id="18" w:name="_Toc416771320"/>
      <w:r>
        <w:rPr>
          <w:rFonts w:hint="eastAsia" w:ascii="仿宋_GB2312" w:eastAsia="仿宋_GB2312"/>
          <w:b/>
          <w:bCs/>
          <w:sz w:val="28"/>
          <w:szCs w:val="28"/>
        </w:rPr>
        <w:t>第三章  评分体系与标准</w:t>
      </w:r>
      <w:bookmarkEnd w:id="11"/>
    </w:p>
    <w:p w14:paraId="28721B23">
      <w:pPr>
        <w:numPr>
          <w:ilvl w:val="0"/>
          <w:numId w:val="6"/>
        </w:numPr>
        <w:tabs>
          <w:tab w:val="left" w:pos="630"/>
        </w:tabs>
        <w:snapToGrid w:val="0"/>
        <w:spacing w:line="360" w:lineRule="auto"/>
        <w:jc w:val="both"/>
        <w:rPr>
          <w:rFonts w:ascii="宋体" w:cs="宋体"/>
        </w:rPr>
      </w:pPr>
      <w:r>
        <w:rPr>
          <w:rFonts w:hint="eastAsia" w:ascii="宋体" w:cs="宋体"/>
        </w:rPr>
        <w:t>本评审办法采用综合评分法。</w:t>
      </w:r>
    </w:p>
    <w:p w14:paraId="5A9FF1FE">
      <w:pPr>
        <w:numPr>
          <w:ilvl w:val="0"/>
          <w:numId w:val="6"/>
        </w:numPr>
        <w:tabs>
          <w:tab w:val="left" w:pos="851"/>
        </w:tabs>
        <w:autoSpaceDE/>
        <w:autoSpaceDN/>
        <w:snapToGrid w:val="0"/>
        <w:spacing w:line="360" w:lineRule="auto"/>
        <w:rPr>
          <w:rFonts w:ascii="宋体" w:hAnsi="宋体"/>
        </w:rPr>
      </w:pPr>
      <w:r>
        <w:rPr>
          <w:rFonts w:hint="eastAsia" w:ascii="宋体" w:hAnsi="宋体"/>
        </w:rPr>
        <w:t>通过资格性和符合性审查的有效供应商方有资格提交最后报价及</w:t>
      </w:r>
      <w:r>
        <w:rPr>
          <w:rFonts w:hint="eastAsia" w:ascii="宋体" w:cs="宋体"/>
        </w:rPr>
        <w:t>进行技术、商务及价格的详细评审，最后磋商小组出具评审报告。</w:t>
      </w:r>
    </w:p>
    <w:p w14:paraId="1385BCDB">
      <w:pPr>
        <w:numPr>
          <w:ilvl w:val="0"/>
          <w:numId w:val="6"/>
        </w:numPr>
        <w:tabs>
          <w:tab w:val="left" w:pos="630"/>
        </w:tabs>
        <w:snapToGrid w:val="0"/>
        <w:spacing w:line="360" w:lineRule="auto"/>
        <w:jc w:val="both"/>
        <w:rPr>
          <w:rFonts w:ascii="宋体" w:cs="宋体"/>
        </w:rPr>
      </w:pPr>
      <w:r>
        <w:rPr>
          <w:rFonts w:hint="eastAsia" w:ascii="宋体" w:cs="宋体"/>
        </w:rPr>
        <w:t>评分及其统计：按照评审程序、评分标准以及权重分配的规定，磋商小组各成员分别就各个响应供应商的技术状况、商务状况及其对竞争性磋商文件要求的响应情况进行评议和比较，评出其技术评分和商务评分、价格评分相加得出其综合得分。</w:t>
      </w:r>
    </w:p>
    <w:p w14:paraId="1DC3961A">
      <w:pPr>
        <w:numPr>
          <w:ilvl w:val="0"/>
          <w:numId w:val="6"/>
        </w:numPr>
        <w:tabs>
          <w:tab w:val="left" w:pos="630"/>
        </w:tabs>
        <w:snapToGrid w:val="0"/>
        <w:spacing w:line="360" w:lineRule="auto"/>
        <w:jc w:val="both"/>
        <w:rPr>
          <w:rFonts w:ascii="宋体" w:hAnsi="宋体"/>
          <w:bCs/>
        </w:rPr>
      </w:pPr>
      <w:r>
        <w:rPr>
          <w:rFonts w:hint="eastAsia" w:ascii="宋体" w:cs="宋体"/>
        </w:rPr>
        <w:t>商务</w:t>
      </w:r>
      <w:r>
        <w:rPr>
          <w:rFonts w:hint="eastAsia" w:ascii="宋体" w:hAnsi="宋体"/>
          <w:bCs/>
        </w:rPr>
        <w:t>、技术评分均为所有评委评分分值的算术平均值（四舍五入后，</w:t>
      </w:r>
      <w:r>
        <w:rPr>
          <w:rFonts w:hint="eastAsia" w:ascii="Arial" w:hAnsi="Arial" w:cs="Arial"/>
          <w:szCs w:val="20"/>
        </w:rPr>
        <w:t>小数点后保留两位有效数</w:t>
      </w:r>
      <w:r>
        <w:rPr>
          <w:rFonts w:hint="eastAsia" w:ascii="宋体" w:hAnsi="宋体"/>
          <w:bCs/>
        </w:rPr>
        <w:t>）。</w:t>
      </w:r>
    </w:p>
    <w:p w14:paraId="62B22248">
      <w:pPr>
        <w:autoSpaceDE/>
        <w:autoSpaceDN/>
        <w:adjustRightInd/>
        <w:spacing w:line="360" w:lineRule="auto"/>
        <w:jc w:val="center"/>
        <w:outlineLvl w:val="0"/>
        <w:rPr>
          <w:rFonts w:ascii="仿宋_GB2312" w:eastAsia="仿宋_GB2312"/>
          <w:b/>
          <w:bCs/>
          <w:kern w:val="2"/>
          <w:sz w:val="28"/>
          <w:szCs w:val="28"/>
        </w:rPr>
      </w:pPr>
      <w:bookmarkStart w:id="19" w:name="_Toc17462"/>
      <w:bookmarkStart w:id="20" w:name="_Toc461111211"/>
      <w:r>
        <w:rPr>
          <w:rFonts w:hint="eastAsia" w:ascii="仿宋_GB2312" w:eastAsia="仿宋_GB2312"/>
          <w:b/>
          <w:bCs/>
          <w:kern w:val="2"/>
          <w:sz w:val="28"/>
          <w:szCs w:val="28"/>
        </w:rPr>
        <w:t>资格、符合性评审</w:t>
      </w:r>
      <w:bookmarkEnd w:id="19"/>
      <w:bookmarkEnd w:id="20"/>
    </w:p>
    <w:tbl>
      <w:tblPr>
        <w:tblStyle w:val="13"/>
        <w:tblW w:w="912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41"/>
        <w:gridCol w:w="8586"/>
      </w:tblGrid>
      <w:tr w14:paraId="1A844D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0" w:hRule="atLeast"/>
          <w:jc w:val="center"/>
        </w:trPr>
        <w:tc>
          <w:tcPr>
            <w:tcW w:w="541" w:type="dxa"/>
            <w:tcBorders>
              <w:right w:val="single" w:color="auto" w:sz="4" w:space="0"/>
            </w:tcBorders>
            <w:vAlign w:val="center"/>
          </w:tcPr>
          <w:p w14:paraId="22FF8FF3">
            <w:pPr>
              <w:ind w:left="-90" w:leftChars="-43" w:right="-101" w:rightChars="-48"/>
              <w:jc w:val="center"/>
              <w:rPr>
                <w:rFonts w:ascii="宋体" w:cs="宋体"/>
                <w:b/>
              </w:rPr>
            </w:pPr>
            <w:r>
              <w:rPr>
                <w:rFonts w:hint="eastAsia" w:ascii="宋体" w:cs="宋体"/>
                <w:b/>
              </w:rPr>
              <w:t>序号</w:t>
            </w:r>
          </w:p>
        </w:tc>
        <w:tc>
          <w:tcPr>
            <w:tcW w:w="8586" w:type="dxa"/>
            <w:tcBorders>
              <w:left w:val="single" w:color="auto" w:sz="4" w:space="0"/>
            </w:tcBorders>
            <w:vAlign w:val="center"/>
          </w:tcPr>
          <w:p w14:paraId="1A970F22">
            <w:pPr>
              <w:jc w:val="center"/>
              <w:rPr>
                <w:rFonts w:ascii="宋体" w:cs="宋体"/>
                <w:b/>
              </w:rPr>
            </w:pPr>
            <w:r>
              <w:rPr>
                <w:rFonts w:hint="eastAsia" w:ascii="宋体" w:hAnsi="宋体" w:cs="宋体"/>
                <w:b/>
              </w:rPr>
              <w:t>评审内容</w:t>
            </w:r>
          </w:p>
        </w:tc>
      </w:tr>
      <w:tr w14:paraId="2171728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69253BE0">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004E53ED">
            <w:pPr>
              <w:rPr>
                <w:rFonts w:ascii="宋体" w:hAnsi="宋体" w:cs="宋体"/>
              </w:rPr>
            </w:pPr>
            <w:r>
              <w:rPr>
                <w:rFonts w:hint="eastAsia" w:ascii="宋体" w:hAnsi="宋体" w:cs="宋体"/>
              </w:rPr>
              <w:t>具备竞争性磋商文件中规定资格要求的及资格证明文件齐全；</w:t>
            </w:r>
          </w:p>
        </w:tc>
      </w:tr>
      <w:tr w14:paraId="4A1CE9A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51652C39">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6702878F">
            <w:pPr>
              <w:rPr>
                <w:rFonts w:ascii="宋体" w:hAnsi="宋体" w:cs="宋体"/>
              </w:rPr>
            </w:pPr>
            <w:r>
              <w:rPr>
                <w:rFonts w:hint="eastAsia" w:ascii="宋体" w:hAnsi="宋体" w:cs="宋体"/>
              </w:rPr>
              <w:t>磋商函已提交并符合竞争性磋商文件要求的；</w:t>
            </w:r>
          </w:p>
        </w:tc>
      </w:tr>
      <w:tr w14:paraId="766A2CA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5BF4C634">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04D997E4">
            <w:pPr>
              <w:rPr>
                <w:rFonts w:ascii="宋体" w:hAnsi="宋体" w:cs="宋体"/>
              </w:rPr>
            </w:pPr>
            <w:r>
              <w:rPr>
                <w:rFonts w:hint="eastAsia" w:ascii="宋体" w:hAnsi="宋体" w:cs="宋体"/>
              </w:rPr>
              <w:t>响应供应商按竞争性磋商文件要求缴纳磋商保证金的；</w:t>
            </w:r>
            <w:r>
              <w:rPr>
                <w:rFonts w:hint="eastAsia" w:ascii="宋体" w:hAnsi="宋体" w:cs="宋体"/>
                <w:lang w:val="en-US" w:eastAsia="zh-CN"/>
              </w:rPr>
              <w:t>(如无，请忽略)</w:t>
            </w:r>
          </w:p>
        </w:tc>
      </w:tr>
      <w:tr w14:paraId="2F25ECA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342DCE6E">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6D043CC0">
            <w:pPr>
              <w:ind w:left="19" w:hanging="18" w:hangingChars="9"/>
              <w:rPr>
                <w:rFonts w:ascii="宋体" w:hAnsi="宋体" w:cs="宋体"/>
              </w:rPr>
            </w:pPr>
            <w:r>
              <w:rPr>
                <w:rFonts w:hint="eastAsia" w:ascii="宋体" w:hAnsi="宋体" w:cs="宋体"/>
              </w:rPr>
              <w:t>按照竞争性磋商文件规定要求签署、盖章且响应文件有法定代表人签字或盖章（或签字人有法定代表人有效授权书）的；</w:t>
            </w:r>
          </w:p>
        </w:tc>
      </w:tr>
      <w:tr w14:paraId="739F32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60BAE8DF">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7406A426">
            <w:pPr>
              <w:ind w:left="315" w:hanging="315" w:hangingChars="150"/>
              <w:rPr>
                <w:rFonts w:ascii="宋体" w:hAnsi="宋体" w:cs="宋体"/>
              </w:rPr>
            </w:pPr>
            <w:r>
              <w:rPr>
                <w:rFonts w:hint="eastAsia" w:ascii="宋体" w:hAnsi="宋体" w:cs="宋体"/>
              </w:rPr>
              <w:t>最后报价未超过本项目的最高限价的；</w:t>
            </w:r>
          </w:p>
        </w:tc>
      </w:tr>
      <w:tr w14:paraId="4B723B7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6811505F">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730658A0">
            <w:pPr>
              <w:rPr>
                <w:rFonts w:ascii="宋体" w:hAnsi="宋体" w:cs="宋体"/>
              </w:rPr>
            </w:pPr>
            <w:r>
              <w:rPr>
                <w:rFonts w:hint="eastAsia" w:ascii="宋体" w:hAnsi="宋体" w:cs="宋体"/>
              </w:rPr>
              <w:t>响应文件满足竞争性磋商文件中标注★号条款的；</w:t>
            </w:r>
          </w:p>
        </w:tc>
      </w:tr>
      <w:tr w14:paraId="6DA3F1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66AE73CC">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17AEE87E">
            <w:pPr>
              <w:rPr>
                <w:rFonts w:ascii="宋体" w:hAnsi="宋体" w:cs="宋体"/>
              </w:rPr>
            </w:pPr>
            <w:r>
              <w:rPr>
                <w:rFonts w:hint="eastAsia" w:ascii="宋体" w:hAnsi="宋体" w:cs="宋体"/>
              </w:rPr>
              <w:t>响应文件没有竞争性磋商文件中规定的其它无效投标条款的；</w:t>
            </w:r>
          </w:p>
        </w:tc>
      </w:tr>
      <w:tr w14:paraId="3EC6CD4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74C4B99B">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61443A7E">
            <w:pPr>
              <w:rPr>
                <w:rFonts w:ascii="宋体" w:hAnsi="宋体" w:cs="宋体"/>
              </w:rPr>
            </w:pPr>
            <w:r>
              <w:rPr>
                <w:rFonts w:hint="eastAsia" w:ascii="宋体" w:hAnsi="宋体" w:cs="宋体"/>
              </w:rPr>
              <w:t>按有关法律、法规、规章不属于投标无效的。</w:t>
            </w:r>
          </w:p>
        </w:tc>
      </w:tr>
      <w:tr w14:paraId="5ECF47B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9127" w:type="dxa"/>
            <w:gridSpan w:val="2"/>
            <w:vAlign w:val="center"/>
          </w:tcPr>
          <w:p w14:paraId="327EE8F8">
            <w:pPr>
              <w:rPr>
                <w:rFonts w:ascii="宋体" w:hAnsi="宋体" w:cs="宋体"/>
              </w:rPr>
            </w:pPr>
            <w:r>
              <w:rPr>
                <w:rFonts w:hint="eastAsia" w:ascii="宋体" w:hAnsi="宋体" w:cs="宋体"/>
              </w:rPr>
              <w:t>备注：1、第5项内容在最后报价结束后进行评审。</w:t>
            </w:r>
          </w:p>
          <w:p w14:paraId="39E23E98">
            <w:pPr>
              <w:rPr>
                <w:rFonts w:ascii="宋体" w:hAnsi="宋体" w:cs="宋体"/>
              </w:rPr>
            </w:pPr>
            <w:r>
              <w:rPr>
                <w:rFonts w:hint="eastAsia" w:ascii="宋体" w:hAnsi="宋体" w:cs="宋体"/>
              </w:rPr>
              <w:t>2、</w:t>
            </w:r>
            <w:r>
              <w:rPr>
                <w:rFonts w:hint="eastAsia" w:ascii="宋体" w:hAnsi="宋体"/>
              </w:rPr>
              <w:t>响应供应商必须严格按照资格、符合性评审条款的要求如实提供证明材料</w:t>
            </w:r>
            <w:r>
              <w:rPr>
                <w:rFonts w:hint="eastAsia" w:ascii="宋体" w:hAnsi="宋体"/>
                <w:bCs/>
              </w:rPr>
              <w:t>并应加盖响应供应商公章</w:t>
            </w:r>
            <w:r>
              <w:rPr>
                <w:rFonts w:hint="eastAsia" w:ascii="宋体" w:hAnsi="宋体"/>
              </w:rPr>
              <w:t>，对缺漏或不符合项将直接导致无效投标，不进入综合评分。</w:t>
            </w:r>
          </w:p>
        </w:tc>
      </w:tr>
    </w:tbl>
    <w:p w14:paraId="24B9F849">
      <w:pPr>
        <w:tabs>
          <w:tab w:val="left" w:pos="851"/>
        </w:tabs>
        <w:spacing w:line="360" w:lineRule="auto"/>
        <w:rPr>
          <w:rFonts w:ascii="宋体" w:hAnsi="宋体"/>
          <w:b/>
          <w:bCs/>
        </w:rPr>
      </w:pPr>
    </w:p>
    <w:p w14:paraId="2AC2D17A">
      <w:pPr>
        <w:autoSpaceDE/>
        <w:autoSpaceDN/>
        <w:adjustRightInd/>
        <w:spacing w:line="360" w:lineRule="auto"/>
        <w:jc w:val="center"/>
        <w:outlineLvl w:val="0"/>
        <w:rPr>
          <w:rFonts w:ascii="仿宋_GB2312" w:eastAsia="仿宋_GB2312"/>
          <w:b/>
          <w:bCs/>
          <w:kern w:val="2"/>
          <w:sz w:val="28"/>
          <w:szCs w:val="28"/>
        </w:rPr>
      </w:pPr>
      <w:bookmarkStart w:id="21" w:name="_Toc461111212"/>
      <w:r>
        <w:rPr>
          <w:rFonts w:ascii="仿宋_GB2312" w:eastAsia="仿宋_GB2312"/>
          <w:b/>
          <w:bCs/>
          <w:kern w:val="2"/>
          <w:sz w:val="28"/>
          <w:szCs w:val="28"/>
        </w:rPr>
        <w:br w:type="page"/>
      </w:r>
      <w:bookmarkEnd w:id="21"/>
    </w:p>
    <w:p w14:paraId="69F573E8">
      <w:pPr>
        <w:snapToGrid w:val="0"/>
        <w:spacing w:beforeLines="50" w:afterLines="50" w:line="360" w:lineRule="auto"/>
        <w:jc w:val="center"/>
        <w:outlineLvl w:val="2"/>
        <w:rPr>
          <w:rFonts w:ascii="黑体" w:hAnsi="宋体" w:eastAsia="黑体" w:cs="宋体"/>
          <w:sz w:val="28"/>
          <w:szCs w:val="28"/>
        </w:rPr>
      </w:pPr>
      <w:r>
        <w:rPr>
          <w:rFonts w:hint="eastAsia" w:ascii="黑体" w:hAnsi="宋体" w:eastAsia="黑体" w:cs="宋体"/>
          <w:sz w:val="28"/>
          <w:szCs w:val="28"/>
        </w:rPr>
        <w:t>综合评分表</w:t>
      </w:r>
    </w:p>
    <w:tbl>
      <w:tblPr>
        <w:tblStyle w:val="13"/>
        <w:tblW w:w="9087"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82"/>
        <w:gridCol w:w="1239"/>
        <w:gridCol w:w="5707"/>
        <w:gridCol w:w="709"/>
        <w:gridCol w:w="850"/>
      </w:tblGrid>
      <w:tr w14:paraId="1A1D93C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3894B8D3">
            <w:pPr>
              <w:ind w:left="-78" w:leftChars="-37" w:right="-73" w:rightChars="-35"/>
              <w:jc w:val="center"/>
              <w:rPr>
                <w:rFonts w:ascii="宋体" w:hAnsi="宋体" w:cs="宋体"/>
                <w:b/>
                <w:color w:val="auto"/>
                <w:highlight w:val="none"/>
              </w:rPr>
            </w:pPr>
            <w:r>
              <w:rPr>
                <w:rFonts w:hint="eastAsia" w:ascii="宋体" w:hAnsi="宋体" w:cs="宋体"/>
                <w:b/>
                <w:color w:val="auto"/>
                <w:highlight w:val="none"/>
              </w:rPr>
              <w:t>序号</w:t>
            </w:r>
          </w:p>
        </w:tc>
        <w:tc>
          <w:tcPr>
            <w:tcW w:w="1239" w:type="dxa"/>
            <w:vAlign w:val="center"/>
          </w:tcPr>
          <w:p w14:paraId="3F3FCEEF">
            <w:pPr>
              <w:ind w:left="-78" w:leftChars="-37" w:right="-73" w:rightChars="-35"/>
              <w:jc w:val="center"/>
              <w:rPr>
                <w:rFonts w:ascii="宋体" w:hAnsi="宋体" w:cs="宋体"/>
                <w:b/>
                <w:color w:val="auto"/>
                <w:highlight w:val="none"/>
              </w:rPr>
            </w:pPr>
            <w:r>
              <w:rPr>
                <w:rFonts w:hint="eastAsia" w:ascii="宋体" w:hAnsi="宋体" w:cs="宋体"/>
                <w:b/>
                <w:color w:val="auto"/>
                <w:highlight w:val="none"/>
              </w:rPr>
              <w:t>评审因素</w:t>
            </w:r>
          </w:p>
        </w:tc>
        <w:tc>
          <w:tcPr>
            <w:tcW w:w="5707" w:type="dxa"/>
            <w:vAlign w:val="center"/>
          </w:tcPr>
          <w:p w14:paraId="64C624BA">
            <w:pPr>
              <w:ind w:left="-78" w:leftChars="-37" w:right="-73" w:rightChars="-35"/>
              <w:jc w:val="center"/>
              <w:rPr>
                <w:rFonts w:ascii="宋体" w:hAnsi="宋体" w:cs="宋体"/>
                <w:b/>
                <w:color w:val="auto"/>
                <w:highlight w:val="none"/>
              </w:rPr>
            </w:pPr>
            <w:r>
              <w:rPr>
                <w:rFonts w:hint="eastAsia" w:ascii="宋体" w:hAnsi="宋体" w:cs="宋体"/>
                <w:b/>
                <w:color w:val="auto"/>
                <w:highlight w:val="none"/>
              </w:rPr>
              <w:t>评分细则</w:t>
            </w:r>
          </w:p>
        </w:tc>
        <w:tc>
          <w:tcPr>
            <w:tcW w:w="709" w:type="dxa"/>
            <w:tcBorders>
              <w:right w:val="single" w:color="auto" w:sz="4" w:space="0"/>
            </w:tcBorders>
            <w:vAlign w:val="center"/>
          </w:tcPr>
          <w:p w14:paraId="72688A7A">
            <w:pPr>
              <w:ind w:left="-78" w:leftChars="-37" w:right="-73" w:rightChars="-35"/>
              <w:jc w:val="center"/>
              <w:rPr>
                <w:rFonts w:ascii="宋体" w:hAnsi="宋体" w:cs="宋体"/>
                <w:b/>
                <w:color w:val="auto"/>
                <w:highlight w:val="none"/>
              </w:rPr>
            </w:pPr>
            <w:r>
              <w:rPr>
                <w:rFonts w:hint="eastAsia" w:ascii="宋体" w:hAnsi="宋体" w:cs="宋体"/>
                <w:b/>
                <w:color w:val="auto"/>
                <w:highlight w:val="none"/>
              </w:rPr>
              <w:t>权重（%）</w:t>
            </w:r>
          </w:p>
        </w:tc>
        <w:tc>
          <w:tcPr>
            <w:tcW w:w="850" w:type="dxa"/>
            <w:tcBorders>
              <w:left w:val="single" w:color="auto" w:sz="4" w:space="0"/>
            </w:tcBorders>
            <w:vAlign w:val="center"/>
          </w:tcPr>
          <w:p w14:paraId="0F29FB69">
            <w:pPr>
              <w:ind w:left="-78" w:leftChars="-37" w:right="-73" w:rightChars="-35"/>
              <w:jc w:val="center"/>
              <w:rPr>
                <w:rFonts w:ascii="宋体" w:hAnsi="宋体" w:cs="宋体"/>
                <w:b/>
                <w:color w:val="auto"/>
                <w:highlight w:val="none"/>
              </w:rPr>
            </w:pPr>
            <w:r>
              <w:rPr>
                <w:rFonts w:hint="eastAsia" w:ascii="宋体" w:hAnsi="宋体" w:cs="宋体"/>
                <w:b/>
                <w:color w:val="auto"/>
                <w:highlight w:val="none"/>
              </w:rPr>
              <w:t>分值（分）</w:t>
            </w:r>
          </w:p>
        </w:tc>
      </w:tr>
      <w:tr w14:paraId="508C651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9" w:hRule="atLeast"/>
        </w:trPr>
        <w:tc>
          <w:tcPr>
            <w:tcW w:w="582" w:type="dxa"/>
            <w:vAlign w:val="center"/>
          </w:tcPr>
          <w:p w14:paraId="073A7CBB">
            <w:pPr>
              <w:ind w:left="-78" w:leftChars="-37" w:right="-73" w:rightChars="-35"/>
              <w:jc w:val="center"/>
              <w:rPr>
                <w:rFonts w:ascii="宋体" w:hAnsi="宋体" w:cs="宋体"/>
                <w:color w:val="auto"/>
                <w:highlight w:val="none"/>
              </w:rPr>
            </w:pPr>
            <w:r>
              <w:rPr>
                <w:rFonts w:hint="eastAsia" w:ascii="宋体" w:hAnsi="宋体" w:cs="宋体"/>
                <w:color w:val="auto"/>
                <w:highlight w:val="none"/>
              </w:rPr>
              <w:t>一</w:t>
            </w:r>
          </w:p>
        </w:tc>
        <w:tc>
          <w:tcPr>
            <w:tcW w:w="8505" w:type="dxa"/>
            <w:gridSpan w:val="4"/>
            <w:vAlign w:val="center"/>
          </w:tcPr>
          <w:p w14:paraId="6B722B02">
            <w:pPr>
              <w:ind w:left="-78" w:leftChars="-37" w:right="-73" w:rightChars="-35"/>
              <w:jc w:val="center"/>
              <w:rPr>
                <w:rFonts w:ascii="宋体" w:hAnsi="宋体" w:cs="宋体"/>
                <w:color w:val="auto"/>
                <w:highlight w:val="none"/>
              </w:rPr>
            </w:pPr>
            <w:r>
              <w:rPr>
                <w:rFonts w:hint="eastAsia" w:ascii="宋体" w:hAnsi="宋体" w:cs="宋体"/>
                <w:color w:val="auto"/>
                <w:highlight w:val="none"/>
              </w:rPr>
              <w:t>技术部分(合计</w:t>
            </w:r>
            <w:r>
              <w:rPr>
                <w:rFonts w:hint="eastAsia" w:ascii="宋体" w:hAnsi="宋体" w:cs="宋体"/>
                <w:color w:val="auto"/>
                <w:highlight w:val="none"/>
                <w:lang w:val="en-US" w:eastAsia="zh-CN"/>
              </w:rPr>
              <w:t>50</w:t>
            </w:r>
            <w:r>
              <w:rPr>
                <w:rFonts w:hint="eastAsia" w:ascii="宋体" w:hAnsi="宋体" w:cs="宋体"/>
                <w:color w:val="auto"/>
                <w:highlight w:val="none"/>
              </w:rPr>
              <w:t>分)</w:t>
            </w:r>
          </w:p>
        </w:tc>
      </w:tr>
      <w:tr w14:paraId="0122AAD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1F5D40AC">
            <w:pPr>
              <w:pStyle w:val="20"/>
              <w:numPr>
                <w:ilvl w:val="0"/>
                <w:numId w:val="8"/>
              </w:numPr>
              <w:ind w:firstLineChars="0"/>
              <w:jc w:val="center"/>
              <w:rPr>
                <w:rFonts w:ascii="宋体" w:hAnsi="宋体" w:eastAsia="宋体" w:cs="宋体"/>
                <w:color w:val="auto"/>
                <w:szCs w:val="21"/>
                <w:highlight w:val="none"/>
              </w:rPr>
            </w:pPr>
          </w:p>
        </w:tc>
        <w:tc>
          <w:tcPr>
            <w:tcW w:w="1239" w:type="dxa"/>
            <w:vAlign w:val="center"/>
          </w:tcPr>
          <w:p w14:paraId="2955A75F">
            <w:pPr>
              <w:rPr>
                <w:rFonts w:ascii="宋体" w:hAnsi="宋体" w:cs="宋体"/>
                <w:color w:val="auto"/>
                <w:highlight w:val="none"/>
              </w:rPr>
            </w:pPr>
            <w:r>
              <w:rPr>
                <w:rFonts w:hint="eastAsia" w:ascii="宋体" w:hAnsi="宋体" w:cs="宋体"/>
                <w:color w:val="auto"/>
                <w:highlight w:val="none"/>
              </w:rPr>
              <w:t>总体施工方案</w:t>
            </w:r>
          </w:p>
        </w:tc>
        <w:tc>
          <w:tcPr>
            <w:tcW w:w="5707" w:type="dxa"/>
            <w:vAlign w:val="center"/>
          </w:tcPr>
          <w:p w14:paraId="40D446CF">
            <w:pPr>
              <w:pStyle w:val="17"/>
              <w:ind w:firstLine="0" w:firstLineChars="0"/>
              <w:rPr>
                <w:rFonts w:ascii="宋体" w:hAnsi="宋体" w:cs="宋体"/>
                <w:color w:val="auto"/>
                <w:highlight w:val="none"/>
              </w:rPr>
            </w:pPr>
            <w:r>
              <w:rPr>
                <w:rFonts w:ascii="宋体" w:hAnsi="宋体" w:cs="宋体"/>
                <w:color w:val="auto"/>
                <w:highlight w:val="none"/>
              </w:rPr>
              <w:t>根据各供应商提供的施工组织设计方案进行评审：  1</w:t>
            </w:r>
            <w:r>
              <w:rPr>
                <w:rFonts w:hint="eastAsia" w:ascii="宋体" w:hAnsi="宋体" w:cs="宋体"/>
                <w:color w:val="auto"/>
                <w:highlight w:val="none"/>
                <w:lang w:eastAsia="zh-CN"/>
              </w:rPr>
              <w:t>、</w:t>
            </w:r>
            <w:r>
              <w:rPr>
                <w:rFonts w:ascii="宋体" w:hAnsi="宋体" w:cs="宋体"/>
                <w:color w:val="auto"/>
                <w:highlight w:val="none"/>
              </w:rPr>
              <w:t>施工总体安排</w:t>
            </w:r>
            <w:r>
              <w:rPr>
                <w:rFonts w:hint="eastAsia" w:ascii="宋体" w:hAnsi="宋体" w:cs="宋体"/>
                <w:color w:val="auto"/>
                <w:highlight w:val="none"/>
                <w:lang w:eastAsia="zh-CN"/>
              </w:rPr>
              <w:t>完善、</w:t>
            </w:r>
            <w:r>
              <w:rPr>
                <w:rFonts w:ascii="宋体" w:hAnsi="宋体" w:cs="宋体"/>
                <w:color w:val="auto"/>
                <w:highlight w:val="none"/>
              </w:rPr>
              <w:t>合理，运用先进、合理的施工工艺；对施工难点有先进和合理的建议，施工质量保证措施可靠、经济、安全、切实可行，措施得力，完全满足且由于优于项目需求得</w:t>
            </w:r>
            <w:r>
              <w:rPr>
                <w:rFonts w:hint="eastAsia" w:ascii="宋体" w:hAnsi="宋体" w:cs="宋体"/>
                <w:color w:val="auto"/>
                <w:highlight w:val="none"/>
                <w:lang w:val="en-US" w:eastAsia="zh-CN"/>
              </w:rPr>
              <w:t>10</w:t>
            </w:r>
            <w:r>
              <w:rPr>
                <w:rFonts w:ascii="宋体" w:hAnsi="宋体" w:cs="宋体"/>
                <w:color w:val="auto"/>
                <w:highlight w:val="none"/>
              </w:rPr>
              <w:t>分；2</w:t>
            </w:r>
            <w:r>
              <w:rPr>
                <w:rFonts w:hint="eastAsia" w:ascii="宋体" w:hAnsi="宋体" w:cs="宋体"/>
                <w:color w:val="auto"/>
                <w:highlight w:val="none"/>
                <w:lang w:eastAsia="zh-CN"/>
              </w:rPr>
              <w:t>、</w:t>
            </w:r>
            <w:r>
              <w:rPr>
                <w:rFonts w:ascii="宋体" w:hAnsi="宋体" w:cs="宋体"/>
                <w:color w:val="auto"/>
                <w:highlight w:val="none"/>
              </w:rPr>
              <w:t>施工总体安排合理</w:t>
            </w:r>
            <w:r>
              <w:rPr>
                <w:rFonts w:hint="eastAsia" w:ascii="宋体" w:hAnsi="宋体" w:cs="宋体"/>
                <w:color w:val="auto"/>
                <w:highlight w:val="none"/>
                <w:lang w:eastAsia="zh-CN"/>
              </w:rPr>
              <w:t>不够完善</w:t>
            </w:r>
            <w:r>
              <w:rPr>
                <w:rFonts w:ascii="宋体" w:hAnsi="宋体" w:cs="宋体"/>
                <w:color w:val="auto"/>
                <w:highlight w:val="none"/>
              </w:rPr>
              <w:t>，施工工艺合理、可行；对施工难点有合理的建议，施工质量保证措施经济、安全</w:t>
            </w:r>
            <w:r>
              <w:rPr>
                <w:rFonts w:hint="eastAsia" w:ascii="宋体" w:hAnsi="宋体" w:cs="宋体"/>
                <w:color w:val="auto"/>
                <w:highlight w:val="none"/>
                <w:lang w:eastAsia="zh-CN"/>
              </w:rPr>
              <w:t>，可行，仅</w:t>
            </w:r>
            <w:r>
              <w:rPr>
                <w:rFonts w:ascii="宋体" w:hAnsi="宋体" w:cs="宋体"/>
                <w:color w:val="auto"/>
                <w:highlight w:val="none"/>
              </w:rPr>
              <w:t>完全满足项目需求得</w:t>
            </w:r>
            <w:r>
              <w:rPr>
                <w:rFonts w:hint="eastAsia" w:ascii="宋体" w:hAnsi="宋体" w:cs="宋体"/>
                <w:color w:val="auto"/>
                <w:highlight w:val="none"/>
                <w:lang w:val="en-US" w:eastAsia="zh-CN"/>
              </w:rPr>
              <w:t>7</w:t>
            </w:r>
            <w:r>
              <w:rPr>
                <w:rFonts w:ascii="宋体" w:hAnsi="宋体" w:cs="宋体"/>
                <w:color w:val="auto"/>
                <w:highlight w:val="none"/>
              </w:rPr>
              <w:t>分；3</w:t>
            </w:r>
            <w:r>
              <w:rPr>
                <w:rFonts w:hint="eastAsia" w:ascii="宋体" w:hAnsi="宋体" w:cs="宋体"/>
                <w:color w:val="auto"/>
                <w:highlight w:val="none"/>
                <w:lang w:eastAsia="zh-CN"/>
              </w:rPr>
              <w:t>、</w:t>
            </w:r>
            <w:r>
              <w:rPr>
                <w:rFonts w:ascii="宋体" w:hAnsi="宋体" w:cs="宋体"/>
                <w:color w:val="auto"/>
                <w:highlight w:val="none"/>
              </w:rPr>
              <w:t>施工总体安排</w:t>
            </w:r>
            <w:r>
              <w:rPr>
                <w:rFonts w:hint="eastAsia" w:ascii="宋体" w:hAnsi="宋体" w:cs="宋体"/>
                <w:color w:val="auto"/>
                <w:highlight w:val="none"/>
                <w:lang w:eastAsia="zh-CN"/>
              </w:rPr>
              <w:t>内容有遗漏</w:t>
            </w:r>
            <w:r>
              <w:rPr>
                <w:rFonts w:ascii="宋体" w:hAnsi="宋体" w:cs="宋体"/>
                <w:color w:val="auto"/>
                <w:highlight w:val="none"/>
              </w:rPr>
              <w:t>，施工工艺</w:t>
            </w:r>
            <w:r>
              <w:rPr>
                <w:rFonts w:hint="eastAsia" w:ascii="宋体" w:hAnsi="宋体" w:cs="宋体"/>
                <w:color w:val="auto"/>
                <w:highlight w:val="none"/>
                <w:lang w:eastAsia="zh-CN"/>
              </w:rPr>
              <w:t>落后，基本可行，</w:t>
            </w:r>
            <w:r>
              <w:rPr>
                <w:rFonts w:ascii="宋体" w:hAnsi="宋体" w:cs="宋体"/>
                <w:color w:val="auto"/>
                <w:highlight w:val="none"/>
              </w:rPr>
              <w:t>对施工难点有合理的建议，施工质量保证措施</w:t>
            </w:r>
            <w:r>
              <w:rPr>
                <w:rFonts w:hint="eastAsia" w:ascii="宋体" w:hAnsi="宋体" w:cs="宋体"/>
                <w:color w:val="auto"/>
                <w:highlight w:val="none"/>
                <w:lang w:eastAsia="zh-CN"/>
              </w:rPr>
              <w:t>不全面有漏项，仅</w:t>
            </w:r>
            <w:r>
              <w:rPr>
                <w:rFonts w:ascii="宋体" w:hAnsi="宋体" w:cs="宋体"/>
                <w:color w:val="auto"/>
                <w:highlight w:val="none"/>
              </w:rPr>
              <w:t>部分满足项目需求得</w:t>
            </w:r>
            <w:r>
              <w:rPr>
                <w:rFonts w:hint="eastAsia" w:ascii="宋体" w:hAnsi="宋体" w:cs="宋体"/>
                <w:color w:val="auto"/>
                <w:highlight w:val="none"/>
                <w:lang w:val="en-US" w:eastAsia="zh-CN"/>
              </w:rPr>
              <w:t>4</w:t>
            </w:r>
            <w:r>
              <w:rPr>
                <w:rFonts w:ascii="宋体" w:hAnsi="宋体" w:cs="宋体"/>
                <w:color w:val="auto"/>
                <w:highlight w:val="none"/>
              </w:rPr>
              <w:t>分；</w:t>
            </w:r>
            <w:r>
              <w:rPr>
                <w:rFonts w:hint="eastAsia" w:ascii="宋体" w:hAnsi="宋体" w:cs="宋体"/>
                <w:color w:val="auto"/>
                <w:highlight w:val="none"/>
                <w:lang w:val="en-US" w:eastAsia="zh-CN"/>
              </w:rPr>
              <w:t>4、</w:t>
            </w:r>
            <w:r>
              <w:rPr>
                <w:rFonts w:ascii="宋体" w:hAnsi="宋体" w:cs="宋体"/>
                <w:color w:val="auto"/>
                <w:highlight w:val="none"/>
              </w:rPr>
              <w:t>无提供或不符合要求不得分。</w:t>
            </w:r>
          </w:p>
        </w:tc>
        <w:tc>
          <w:tcPr>
            <w:tcW w:w="709" w:type="dxa"/>
            <w:tcBorders>
              <w:right w:val="single" w:color="auto" w:sz="4" w:space="0"/>
            </w:tcBorders>
            <w:vAlign w:val="center"/>
          </w:tcPr>
          <w:p w14:paraId="4555646A">
            <w:pPr>
              <w:jc w:val="center"/>
              <w:rPr>
                <w:rFonts w:ascii="宋体" w:hAnsi="宋体" w:cs="宋体"/>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w:t>
            </w:r>
          </w:p>
        </w:tc>
        <w:tc>
          <w:tcPr>
            <w:tcW w:w="850" w:type="dxa"/>
            <w:tcBorders>
              <w:left w:val="single" w:color="auto" w:sz="4" w:space="0"/>
            </w:tcBorders>
            <w:vAlign w:val="center"/>
          </w:tcPr>
          <w:p w14:paraId="2EB23416">
            <w:pPr>
              <w:jc w:val="center"/>
              <w:rPr>
                <w:rFonts w:ascii="宋体" w:hAnsi="宋体" w:cs="宋体"/>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分</w:t>
            </w:r>
          </w:p>
        </w:tc>
      </w:tr>
      <w:tr w14:paraId="4A55DA0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5D38D8C8">
            <w:pPr>
              <w:pStyle w:val="20"/>
              <w:numPr>
                <w:ilvl w:val="0"/>
                <w:numId w:val="8"/>
              </w:numPr>
              <w:ind w:firstLineChars="0"/>
              <w:jc w:val="center"/>
              <w:rPr>
                <w:rFonts w:ascii="宋体" w:hAnsi="宋体" w:eastAsia="宋体" w:cs="宋体"/>
                <w:color w:val="auto"/>
                <w:szCs w:val="21"/>
                <w:highlight w:val="none"/>
              </w:rPr>
            </w:pPr>
          </w:p>
        </w:tc>
        <w:tc>
          <w:tcPr>
            <w:tcW w:w="1239" w:type="dxa"/>
            <w:vAlign w:val="center"/>
          </w:tcPr>
          <w:p w14:paraId="33B6F522">
            <w:pPr>
              <w:jc w:val="center"/>
              <w:rPr>
                <w:rFonts w:ascii="宋体" w:hAnsi="宋体" w:cs="宋体"/>
                <w:bCs/>
                <w:color w:val="auto"/>
                <w:highlight w:val="none"/>
              </w:rPr>
            </w:pPr>
            <w:r>
              <w:rPr>
                <w:rFonts w:hint="eastAsia" w:ascii="宋体" w:hAnsi="宋体" w:cs="宋体"/>
                <w:color w:val="auto"/>
                <w:highlight w:val="none"/>
              </w:rPr>
              <w:t>进度计划与措施</w:t>
            </w:r>
          </w:p>
        </w:tc>
        <w:tc>
          <w:tcPr>
            <w:tcW w:w="5707" w:type="dxa"/>
            <w:vAlign w:val="center"/>
          </w:tcPr>
          <w:p w14:paraId="28212318">
            <w:pPr>
              <w:pStyle w:val="17"/>
              <w:ind w:firstLine="0" w:firstLineChars="0"/>
              <w:rPr>
                <w:rFonts w:ascii="宋体" w:hAnsi="宋体" w:cs="宋体"/>
                <w:color w:val="auto"/>
                <w:highlight w:val="none"/>
              </w:rPr>
            </w:pPr>
            <w:r>
              <w:rPr>
                <w:highlight w:val="none"/>
              </w:rPr>
              <w:t>根据各供应商提供的工程进度方案进行评审：1</w:t>
            </w:r>
            <w:r>
              <w:rPr>
                <w:rFonts w:hint="eastAsia"/>
                <w:highlight w:val="none"/>
                <w:lang w:eastAsia="zh-CN"/>
              </w:rPr>
              <w:t>、</w:t>
            </w:r>
            <w:r>
              <w:rPr>
                <w:highlight w:val="none"/>
              </w:rPr>
              <w:t>结合本项目特点，总进度计划</w:t>
            </w:r>
            <w:r>
              <w:rPr>
                <w:rFonts w:hint="eastAsia"/>
                <w:highlight w:val="none"/>
                <w:lang w:eastAsia="zh-CN"/>
              </w:rPr>
              <w:t>科学、</w:t>
            </w:r>
            <w:r>
              <w:rPr>
                <w:highlight w:val="none"/>
              </w:rPr>
              <w:t>可行、合理、保证措施</w:t>
            </w:r>
            <w:r>
              <w:rPr>
                <w:rFonts w:hint="eastAsia"/>
                <w:highlight w:val="none"/>
                <w:lang w:eastAsia="zh-CN"/>
              </w:rPr>
              <w:t>有效</w:t>
            </w:r>
            <w:r>
              <w:rPr>
                <w:highlight w:val="none"/>
              </w:rPr>
              <w:t>，承诺工期完全满足且优</w:t>
            </w:r>
            <w:r>
              <w:rPr>
                <w:rFonts w:hint="eastAsia" w:ascii="宋体" w:hAnsi="宋体" w:eastAsia="宋体" w:cs="宋体"/>
                <w:sz w:val="21"/>
                <w:szCs w:val="21"/>
                <w:highlight w:val="none"/>
              </w:rPr>
              <w:t>于项目需求得</w:t>
            </w:r>
            <w:r>
              <w:rPr>
                <w:rFonts w:hint="eastAsia" w:ascii="宋体" w:hAnsi="宋体" w:cs="宋体"/>
                <w:sz w:val="21"/>
                <w:szCs w:val="21"/>
                <w:highlight w:val="none"/>
                <w:lang w:val="en-US" w:eastAsia="zh-CN"/>
              </w:rPr>
              <w:t>10</w:t>
            </w:r>
            <w:r>
              <w:rPr>
                <w:rFonts w:hint="eastAsia" w:ascii="宋体" w:hAnsi="宋体" w:eastAsia="宋体" w:cs="宋体"/>
                <w:sz w:val="21"/>
                <w:szCs w:val="21"/>
                <w:highlight w:val="none"/>
              </w:rPr>
              <w:t>分</w:t>
            </w:r>
            <w:r>
              <w:rPr>
                <w:rFonts w:hint="eastAsia"/>
                <w:highlight w:val="none"/>
                <w:lang w:eastAsia="zh-CN"/>
              </w:rPr>
              <w:t>；</w:t>
            </w:r>
            <w:r>
              <w:rPr>
                <w:highlight w:val="none"/>
              </w:rPr>
              <w:t>2</w:t>
            </w:r>
            <w:r>
              <w:rPr>
                <w:rFonts w:hint="eastAsia"/>
                <w:highlight w:val="none"/>
                <w:lang w:eastAsia="zh-CN"/>
              </w:rPr>
              <w:t>、</w:t>
            </w:r>
            <w:r>
              <w:rPr>
                <w:highlight w:val="none"/>
              </w:rPr>
              <w:t>结合本项目特点，总进度计划合理、</w:t>
            </w:r>
            <w:r>
              <w:rPr>
                <w:rFonts w:hint="eastAsia"/>
                <w:highlight w:val="none"/>
                <w:lang w:eastAsia="zh-CN"/>
              </w:rPr>
              <w:t>可行，科学性有所缺失，</w:t>
            </w:r>
            <w:r>
              <w:rPr>
                <w:highlight w:val="none"/>
              </w:rPr>
              <w:t>保证措施</w:t>
            </w:r>
            <w:r>
              <w:rPr>
                <w:rFonts w:hint="eastAsia"/>
                <w:highlight w:val="none"/>
                <w:lang w:eastAsia="zh-CN"/>
              </w:rPr>
              <w:t>有效但不够完善</w:t>
            </w:r>
            <w:r>
              <w:rPr>
                <w:highlight w:val="none"/>
              </w:rPr>
              <w:t>，</w:t>
            </w:r>
            <w:r>
              <w:rPr>
                <w:rFonts w:hint="eastAsia"/>
                <w:highlight w:val="none"/>
                <w:lang w:eastAsia="zh-CN"/>
              </w:rPr>
              <w:t>承诺工期仅</w:t>
            </w:r>
            <w:r>
              <w:rPr>
                <w:highlight w:val="none"/>
              </w:rPr>
              <w:t>完全满足项目需求得</w:t>
            </w:r>
            <w:r>
              <w:rPr>
                <w:rFonts w:hint="eastAsia"/>
                <w:highlight w:val="none"/>
                <w:lang w:val="en-US" w:eastAsia="zh-CN"/>
              </w:rPr>
              <w:t>7</w:t>
            </w:r>
            <w:r>
              <w:rPr>
                <w:highlight w:val="none"/>
              </w:rPr>
              <w:t>分。3</w:t>
            </w:r>
            <w:r>
              <w:rPr>
                <w:rFonts w:hint="eastAsia"/>
                <w:highlight w:val="none"/>
                <w:lang w:eastAsia="zh-CN"/>
              </w:rPr>
              <w:t>、</w:t>
            </w:r>
            <w:r>
              <w:rPr>
                <w:highlight w:val="none"/>
              </w:rPr>
              <w:t>结合本项目特点，总进度计划</w:t>
            </w:r>
            <w:r>
              <w:rPr>
                <w:rFonts w:hint="eastAsia"/>
                <w:highlight w:val="none"/>
                <w:lang w:eastAsia="zh-CN"/>
              </w:rPr>
              <w:t>可行、不够合理</w:t>
            </w:r>
            <w:r>
              <w:rPr>
                <w:highlight w:val="none"/>
              </w:rPr>
              <w:t>、保证措施</w:t>
            </w:r>
            <w:r>
              <w:rPr>
                <w:rFonts w:hint="eastAsia"/>
                <w:highlight w:val="none"/>
                <w:lang w:eastAsia="zh-CN"/>
              </w:rPr>
              <w:t>不合理</w:t>
            </w:r>
            <w:r>
              <w:rPr>
                <w:highlight w:val="none"/>
              </w:rPr>
              <w:t>，不完全满足项目需求得</w:t>
            </w:r>
            <w:r>
              <w:rPr>
                <w:rFonts w:hint="eastAsia"/>
                <w:highlight w:val="none"/>
                <w:lang w:val="en-US" w:eastAsia="zh-CN"/>
              </w:rPr>
              <w:t>4</w:t>
            </w:r>
            <w:r>
              <w:rPr>
                <w:highlight w:val="none"/>
              </w:rPr>
              <w:t>分。4</w:t>
            </w:r>
            <w:r>
              <w:rPr>
                <w:rFonts w:hint="eastAsia"/>
                <w:highlight w:val="none"/>
                <w:lang w:eastAsia="zh-CN"/>
              </w:rPr>
              <w:t>、</w:t>
            </w:r>
            <w:r>
              <w:rPr>
                <w:highlight w:val="none"/>
              </w:rPr>
              <w:t>无提供或不符合要求不得分。</w:t>
            </w:r>
          </w:p>
        </w:tc>
        <w:tc>
          <w:tcPr>
            <w:tcW w:w="709" w:type="dxa"/>
            <w:tcBorders>
              <w:right w:val="single" w:color="auto" w:sz="4" w:space="0"/>
            </w:tcBorders>
            <w:vAlign w:val="center"/>
          </w:tcPr>
          <w:p w14:paraId="2CBDF407">
            <w:pPr>
              <w:jc w:val="center"/>
              <w:rPr>
                <w:rFonts w:ascii="宋体" w:hAnsi="宋体" w:cs="宋体"/>
                <w:bCs/>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w:t>
            </w:r>
          </w:p>
        </w:tc>
        <w:tc>
          <w:tcPr>
            <w:tcW w:w="850" w:type="dxa"/>
            <w:tcBorders>
              <w:left w:val="single" w:color="auto" w:sz="4" w:space="0"/>
            </w:tcBorders>
            <w:vAlign w:val="center"/>
          </w:tcPr>
          <w:p w14:paraId="10B81DA0">
            <w:pPr>
              <w:jc w:val="center"/>
              <w:rPr>
                <w:rFonts w:ascii="宋体" w:hAnsi="宋体" w:cs="宋体"/>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分</w:t>
            </w:r>
          </w:p>
        </w:tc>
      </w:tr>
      <w:tr w14:paraId="5433EEA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0547CC8F">
            <w:pPr>
              <w:pStyle w:val="20"/>
              <w:numPr>
                <w:ilvl w:val="0"/>
                <w:numId w:val="8"/>
              </w:numPr>
              <w:ind w:firstLineChars="0"/>
              <w:jc w:val="center"/>
              <w:rPr>
                <w:rFonts w:ascii="宋体" w:hAnsi="宋体" w:eastAsia="宋体" w:cs="宋体"/>
                <w:color w:val="auto"/>
                <w:szCs w:val="21"/>
                <w:highlight w:val="none"/>
              </w:rPr>
            </w:pPr>
          </w:p>
        </w:tc>
        <w:tc>
          <w:tcPr>
            <w:tcW w:w="1239" w:type="dxa"/>
            <w:vAlign w:val="center"/>
          </w:tcPr>
          <w:p w14:paraId="4A88E59F">
            <w:pPr>
              <w:jc w:val="center"/>
              <w:rPr>
                <w:rFonts w:ascii="宋体" w:hAnsi="宋体" w:cs="宋体"/>
                <w:bCs/>
                <w:color w:val="auto"/>
                <w:highlight w:val="none"/>
              </w:rPr>
            </w:pPr>
            <w:r>
              <w:rPr>
                <w:rFonts w:hint="eastAsia" w:ascii="宋体" w:hAnsi="宋体" w:cs="宋体"/>
                <w:bCs/>
                <w:color w:val="auto"/>
                <w:highlight w:val="none"/>
              </w:rPr>
              <w:t>工程质量管理体系及保证措施</w:t>
            </w:r>
          </w:p>
        </w:tc>
        <w:tc>
          <w:tcPr>
            <w:tcW w:w="5707" w:type="dxa"/>
            <w:vAlign w:val="center"/>
          </w:tcPr>
          <w:p w14:paraId="26A5157C">
            <w:pPr>
              <w:rPr>
                <w:rFonts w:ascii="宋体" w:hAnsi="宋体" w:cs="宋体"/>
                <w:color w:val="auto"/>
                <w:highlight w:val="none"/>
              </w:rPr>
            </w:pPr>
            <w:r>
              <w:rPr>
                <w:highlight w:val="none"/>
              </w:rPr>
              <w:t>根据各供应商提供的质量目标方案进行评审：1</w:t>
            </w:r>
            <w:r>
              <w:rPr>
                <w:rFonts w:hint="eastAsia"/>
                <w:highlight w:val="none"/>
                <w:lang w:eastAsia="zh-CN"/>
              </w:rPr>
              <w:t>、</w:t>
            </w:r>
            <w:r>
              <w:rPr>
                <w:highlight w:val="none"/>
              </w:rPr>
              <w:t>结合本项目特点，从材料选用及进场质量验收、施工工艺及施工组织管理等方面提出的质量保证措施</w:t>
            </w:r>
            <w:r>
              <w:rPr>
                <w:rFonts w:hint="eastAsia"/>
                <w:highlight w:val="none"/>
                <w:lang w:eastAsia="zh-CN"/>
              </w:rPr>
              <w:t>有效、科学、合理</w:t>
            </w:r>
            <w:r>
              <w:rPr>
                <w:highlight w:val="none"/>
              </w:rPr>
              <w:t>，能确保实现工程质量目标，完全满足且优于项目需求得</w:t>
            </w:r>
            <w:r>
              <w:rPr>
                <w:rFonts w:hint="eastAsia"/>
                <w:highlight w:val="none"/>
                <w:lang w:val="en-US" w:eastAsia="zh-CN"/>
              </w:rPr>
              <w:t>10</w:t>
            </w:r>
            <w:r>
              <w:rPr>
                <w:highlight w:val="none"/>
              </w:rPr>
              <w:t>分；2</w:t>
            </w:r>
            <w:r>
              <w:rPr>
                <w:rFonts w:hint="eastAsia"/>
                <w:highlight w:val="none"/>
                <w:lang w:eastAsia="zh-CN"/>
              </w:rPr>
              <w:t>、</w:t>
            </w:r>
            <w:r>
              <w:rPr>
                <w:highlight w:val="none"/>
              </w:rPr>
              <w:t>结合本项目特点，从材料选用及进场质量验收、施工工艺及施工组织管理等方面提出的质量保证措施</w:t>
            </w:r>
            <w:r>
              <w:rPr>
                <w:rFonts w:hint="eastAsia"/>
                <w:highlight w:val="none"/>
                <w:lang w:eastAsia="zh-CN"/>
              </w:rPr>
              <w:t>合理、可行，完整性、详细性有所遗项缺失，</w:t>
            </w:r>
            <w:r>
              <w:rPr>
                <w:highlight w:val="none"/>
              </w:rPr>
              <w:t>能确保实现工程质量目标，完全满足项目需求得</w:t>
            </w:r>
            <w:r>
              <w:rPr>
                <w:rFonts w:hint="eastAsia"/>
                <w:highlight w:val="none"/>
                <w:lang w:val="en-US" w:eastAsia="zh-CN"/>
              </w:rPr>
              <w:t>7</w:t>
            </w:r>
            <w:r>
              <w:rPr>
                <w:highlight w:val="none"/>
              </w:rPr>
              <w:t>分；3</w:t>
            </w:r>
            <w:r>
              <w:rPr>
                <w:rFonts w:hint="eastAsia"/>
                <w:highlight w:val="none"/>
                <w:lang w:eastAsia="zh-CN"/>
              </w:rPr>
              <w:t>、</w:t>
            </w:r>
            <w:r>
              <w:rPr>
                <w:highlight w:val="none"/>
              </w:rPr>
              <w:t>结合本项目特点，从材料选用及进场质量验收、施工工艺及施工组织管理等方面提出的质量保证措施存在不合理，不能</w:t>
            </w:r>
            <w:r>
              <w:rPr>
                <w:rFonts w:hint="eastAsia"/>
                <w:highlight w:val="none"/>
                <w:lang w:eastAsia="zh-CN"/>
              </w:rPr>
              <w:t>有效</w:t>
            </w:r>
            <w:r>
              <w:rPr>
                <w:highlight w:val="none"/>
              </w:rPr>
              <w:t>确保实现工程质量目标的，</w:t>
            </w:r>
            <w:r>
              <w:rPr>
                <w:rFonts w:hint="eastAsia"/>
                <w:highlight w:val="none"/>
                <w:lang w:eastAsia="zh-CN"/>
              </w:rPr>
              <w:t>仅部分</w:t>
            </w:r>
            <w:r>
              <w:rPr>
                <w:highlight w:val="none"/>
              </w:rPr>
              <w:t>满足项目需求得</w:t>
            </w:r>
            <w:r>
              <w:rPr>
                <w:rFonts w:hint="eastAsia"/>
                <w:highlight w:val="none"/>
                <w:lang w:val="en-US" w:eastAsia="zh-CN"/>
              </w:rPr>
              <w:t>4</w:t>
            </w:r>
            <w:r>
              <w:rPr>
                <w:highlight w:val="none"/>
              </w:rPr>
              <w:t>分 ；4</w:t>
            </w:r>
            <w:r>
              <w:rPr>
                <w:rFonts w:hint="eastAsia"/>
                <w:highlight w:val="none"/>
                <w:lang w:eastAsia="zh-CN"/>
              </w:rPr>
              <w:t>、</w:t>
            </w:r>
            <w:r>
              <w:rPr>
                <w:highlight w:val="none"/>
              </w:rPr>
              <w:t>无提供或不符合要求不得分。</w:t>
            </w:r>
          </w:p>
        </w:tc>
        <w:tc>
          <w:tcPr>
            <w:tcW w:w="709" w:type="dxa"/>
            <w:tcBorders>
              <w:right w:val="single" w:color="auto" w:sz="4" w:space="0"/>
            </w:tcBorders>
            <w:vAlign w:val="center"/>
          </w:tcPr>
          <w:p w14:paraId="74A63FE3">
            <w:pPr>
              <w:jc w:val="center"/>
              <w:rPr>
                <w:rFonts w:ascii="宋体" w:hAnsi="宋体" w:cs="宋体"/>
                <w:bCs/>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w:t>
            </w:r>
          </w:p>
        </w:tc>
        <w:tc>
          <w:tcPr>
            <w:tcW w:w="850" w:type="dxa"/>
            <w:tcBorders>
              <w:left w:val="single" w:color="auto" w:sz="4" w:space="0"/>
            </w:tcBorders>
            <w:vAlign w:val="center"/>
          </w:tcPr>
          <w:p w14:paraId="12D68EAD">
            <w:pPr>
              <w:jc w:val="center"/>
              <w:rPr>
                <w:rFonts w:ascii="宋体" w:hAnsi="宋体" w:cs="宋体"/>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分</w:t>
            </w:r>
          </w:p>
        </w:tc>
      </w:tr>
      <w:tr w14:paraId="73DF33D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5E9B83CB">
            <w:pPr>
              <w:pStyle w:val="20"/>
              <w:numPr>
                <w:ilvl w:val="0"/>
                <w:numId w:val="8"/>
              </w:numPr>
              <w:ind w:firstLineChars="0"/>
              <w:jc w:val="center"/>
              <w:rPr>
                <w:rFonts w:ascii="宋体" w:hAnsi="宋体" w:eastAsia="宋体" w:cs="宋体"/>
                <w:color w:val="auto"/>
                <w:szCs w:val="21"/>
                <w:highlight w:val="none"/>
              </w:rPr>
            </w:pPr>
          </w:p>
        </w:tc>
        <w:tc>
          <w:tcPr>
            <w:tcW w:w="1239" w:type="dxa"/>
            <w:vAlign w:val="center"/>
          </w:tcPr>
          <w:p w14:paraId="00F6CAFD">
            <w:pPr>
              <w:jc w:val="center"/>
              <w:rPr>
                <w:rFonts w:ascii="宋体" w:hAnsi="宋体" w:cs="宋体"/>
                <w:bCs/>
                <w:color w:val="auto"/>
                <w:highlight w:val="none"/>
              </w:rPr>
            </w:pPr>
            <w:r>
              <w:rPr>
                <w:rFonts w:hint="eastAsia" w:ascii="宋体" w:hAnsi="宋体" w:cs="宋体"/>
                <w:color w:val="auto"/>
                <w:highlight w:val="none"/>
              </w:rPr>
              <w:t>安全生产文明施工</w:t>
            </w:r>
          </w:p>
        </w:tc>
        <w:tc>
          <w:tcPr>
            <w:tcW w:w="5707" w:type="dxa"/>
            <w:vAlign w:val="center"/>
          </w:tcPr>
          <w:p w14:paraId="64686963">
            <w:pPr>
              <w:rPr>
                <w:rFonts w:ascii="宋体" w:hAnsi="宋体" w:cs="宋体"/>
                <w:color w:val="auto"/>
                <w:highlight w:val="none"/>
              </w:rPr>
            </w:pPr>
            <w:r>
              <w:rPr>
                <w:highlight w:val="none"/>
              </w:rPr>
              <w:t>根据各供应商提供的安全施工措施进行评审</w:t>
            </w:r>
            <w:r>
              <w:rPr>
                <w:rFonts w:hint="eastAsia"/>
                <w:highlight w:val="none"/>
                <w:lang w:eastAsia="zh-CN"/>
              </w:rPr>
              <w:t>：</w:t>
            </w:r>
            <w:r>
              <w:rPr>
                <w:highlight w:val="none"/>
              </w:rPr>
              <w:t>1</w:t>
            </w:r>
            <w:r>
              <w:rPr>
                <w:rFonts w:hint="eastAsia"/>
                <w:highlight w:val="none"/>
                <w:lang w:eastAsia="zh-CN"/>
              </w:rPr>
              <w:t>、</w:t>
            </w:r>
            <w:r>
              <w:rPr>
                <w:highlight w:val="none"/>
              </w:rPr>
              <w:t>安全目标明确，</w:t>
            </w:r>
            <w:r>
              <w:rPr>
                <w:rFonts w:hint="eastAsia"/>
                <w:highlight w:val="none"/>
                <w:lang w:eastAsia="zh-CN"/>
              </w:rPr>
              <w:t>安全生产体系完善，</w:t>
            </w:r>
            <w:r>
              <w:rPr>
                <w:highlight w:val="none"/>
              </w:rPr>
              <w:t>结合本项目特点，制定了健全的安全、文明施工保证体系</w:t>
            </w:r>
            <w:r>
              <w:rPr>
                <w:rFonts w:hint="eastAsia"/>
                <w:highlight w:val="none"/>
                <w:lang w:eastAsia="zh-CN"/>
              </w:rPr>
              <w:t>，</w:t>
            </w:r>
            <w:r>
              <w:rPr>
                <w:highlight w:val="none"/>
              </w:rPr>
              <w:t>各项保证措施明确、具体、可行、落实，特别是在典型位置的安全措施先进可靠，完全满足且由于优于项目需求得</w:t>
            </w:r>
            <w:r>
              <w:rPr>
                <w:rFonts w:hint="eastAsia"/>
                <w:highlight w:val="none"/>
                <w:lang w:val="en-US" w:eastAsia="zh-CN"/>
              </w:rPr>
              <w:t>10</w:t>
            </w:r>
            <w:r>
              <w:rPr>
                <w:highlight w:val="none"/>
              </w:rPr>
              <w:t>分；2</w:t>
            </w:r>
            <w:r>
              <w:rPr>
                <w:rFonts w:hint="eastAsia"/>
                <w:highlight w:val="none"/>
                <w:lang w:eastAsia="zh-CN"/>
              </w:rPr>
              <w:t>、</w:t>
            </w:r>
            <w:r>
              <w:rPr>
                <w:highlight w:val="none"/>
              </w:rPr>
              <w:t>安全目标较明确，结合本项目特点，制定的安全、文明施工保证体系</w:t>
            </w:r>
            <w:r>
              <w:rPr>
                <w:rFonts w:hint="eastAsia"/>
                <w:highlight w:val="none"/>
                <w:lang w:eastAsia="zh-CN"/>
              </w:rPr>
              <w:t>完善性有所缺失</w:t>
            </w:r>
            <w:r>
              <w:rPr>
                <w:highlight w:val="none"/>
              </w:rPr>
              <w:t>，各项保证措施明确、具体、可行，在典型位置的安全措施</w:t>
            </w:r>
            <w:r>
              <w:rPr>
                <w:rFonts w:hint="eastAsia"/>
                <w:highlight w:val="none"/>
                <w:lang w:eastAsia="zh-CN"/>
              </w:rPr>
              <w:t>合理，</w:t>
            </w:r>
            <w:r>
              <w:rPr>
                <w:highlight w:val="none"/>
              </w:rPr>
              <w:t>能</w:t>
            </w:r>
            <w:r>
              <w:rPr>
                <w:rFonts w:hint="eastAsia"/>
                <w:highlight w:val="none"/>
                <w:lang w:eastAsia="zh-CN"/>
              </w:rPr>
              <w:t>完全</w:t>
            </w:r>
            <w:r>
              <w:rPr>
                <w:highlight w:val="none"/>
              </w:rPr>
              <w:t>满足项目需求得</w:t>
            </w:r>
            <w:r>
              <w:rPr>
                <w:rFonts w:hint="eastAsia"/>
                <w:highlight w:val="none"/>
                <w:lang w:val="en-US" w:eastAsia="zh-CN"/>
              </w:rPr>
              <w:t>7</w:t>
            </w:r>
            <w:r>
              <w:rPr>
                <w:highlight w:val="none"/>
              </w:rPr>
              <w:t>分；3</w:t>
            </w:r>
            <w:r>
              <w:rPr>
                <w:rFonts w:hint="eastAsia"/>
                <w:highlight w:val="none"/>
                <w:lang w:eastAsia="zh-CN"/>
              </w:rPr>
              <w:t>、</w:t>
            </w:r>
            <w:r>
              <w:rPr>
                <w:highlight w:val="none"/>
              </w:rPr>
              <w:t>安全目标清晰，结合本项目特点，制定的安全、文明施工保证体系</w:t>
            </w:r>
            <w:r>
              <w:rPr>
                <w:rFonts w:hint="eastAsia"/>
                <w:highlight w:val="none"/>
                <w:lang w:eastAsia="zh-CN"/>
              </w:rPr>
              <w:t>不完整</w:t>
            </w:r>
            <w:r>
              <w:rPr>
                <w:highlight w:val="none"/>
              </w:rPr>
              <w:t>，各项保证措施明确、</w:t>
            </w:r>
            <w:r>
              <w:rPr>
                <w:rFonts w:hint="eastAsia"/>
                <w:highlight w:val="none"/>
                <w:lang w:eastAsia="zh-CN"/>
              </w:rPr>
              <w:t>不够</w:t>
            </w:r>
            <w:r>
              <w:rPr>
                <w:highlight w:val="none"/>
              </w:rPr>
              <w:t>具体</w:t>
            </w:r>
            <w:r>
              <w:rPr>
                <w:rFonts w:hint="eastAsia"/>
                <w:highlight w:val="none"/>
                <w:lang w:eastAsia="zh-CN"/>
              </w:rPr>
              <w:t>，</w:t>
            </w:r>
            <w:r>
              <w:rPr>
                <w:highlight w:val="none"/>
              </w:rPr>
              <w:t>在典型位置的安全措施</w:t>
            </w:r>
            <w:r>
              <w:rPr>
                <w:rFonts w:hint="eastAsia"/>
                <w:highlight w:val="none"/>
                <w:lang w:eastAsia="zh-CN"/>
              </w:rPr>
              <w:t>不明确</w:t>
            </w:r>
            <w:r>
              <w:rPr>
                <w:highlight w:val="none"/>
              </w:rPr>
              <w:t>，</w:t>
            </w:r>
            <w:r>
              <w:rPr>
                <w:rFonts w:hint="eastAsia"/>
                <w:highlight w:val="none"/>
                <w:lang w:eastAsia="zh-CN"/>
              </w:rPr>
              <w:t>仅部分</w:t>
            </w:r>
            <w:r>
              <w:rPr>
                <w:highlight w:val="none"/>
              </w:rPr>
              <w:t>满足项目需求得</w:t>
            </w:r>
            <w:r>
              <w:rPr>
                <w:rFonts w:hint="eastAsia"/>
                <w:highlight w:val="none"/>
                <w:lang w:val="en-US" w:eastAsia="zh-CN"/>
              </w:rPr>
              <w:t>4</w:t>
            </w:r>
            <w:r>
              <w:rPr>
                <w:highlight w:val="none"/>
              </w:rPr>
              <w:t>分；4</w:t>
            </w:r>
            <w:r>
              <w:rPr>
                <w:rFonts w:hint="eastAsia"/>
                <w:highlight w:val="none"/>
                <w:lang w:eastAsia="zh-CN"/>
              </w:rPr>
              <w:t>、</w:t>
            </w:r>
            <w:r>
              <w:rPr>
                <w:highlight w:val="none"/>
              </w:rPr>
              <w:t>无提供或不符合要求不得分。</w:t>
            </w:r>
          </w:p>
        </w:tc>
        <w:tc>
          <w:tcPr>
            <w:tcW w:w="709" w:type="dxa"/>
            <w:tcBorders>
              <w:right w:val="single" w:color="auto" w:sz="4" w:space="0"/>
            </w:tcBorders>
            <w:vAlign w:val="center"/>
          </w:tcPr>
          <w:p w14:paraId="2E6781A6">
            <w:pPr>
              <w:jc w:val="center"/>
              <w:rPr>
                <w:rFonts w:ascii="宋体" w:hAnsi="宋体" w:cs="宋体"/>
                <w:bCs/>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w:t>
            </w:r>
          </w:p>
        </w:tc>
        <w:tc>
          <w:tcPr>
            <w:tcW w:w="850" w:type="dxa"/>
            <w:tcBorders>
              <w:left w:val="single" w:color="auto" w:sz="4" w:space="0"/>
            </w:tcBorders>
            <w:vAlign w:val="center"/>
          </w:tcPr>
          <w:p w14:paraId="22944A21">
            <w:pPr>
              <w:jc w:val="center"/>
              <w:rPr>
                <w:rFonts w:ascii="宋体" w:hAnsi="宋体" w:cs="宋体"/>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分</w:t>
            </w:r>
          </w:p>
        </w:tc>
      </w:tr>
      <w:tr w14:paraId="6A88648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2C0C83ED">
            <w:pPr>
              <w:pStyle w:val="20"/>
              <w:numPr>
                <w:ilvl w:val="0"/>
                <w:numId w:val="8"/>
              </w:numPr>
              <w:ind w:firstLineChars="0"/>
              <w:jc w:val="center"/>
              <w:rPr>
                <w:rFonts w:ascii="宋体" w:hAnsi="宋体" w:eastAsia="宋体" w:cs="宋体"/>
                <w:color w:val="auto"/>
                <w:szCs w:val="21"/>
                <w:highlight w:val="none"/>
              </w:rPr>
            </w:pPr>
          </w:p>
        </w:tc>
        <w:tc>
          <w:tcPr>
            <w:tcW w:w="1239" w:type="dxa"/>
            <w:vAlign w:val="center"/>
          </w:tcPr>
          <w:p w14:paraId="4959EFE0">
            <w:pPr>
              <w:jc w:val="center"/>
              <w:rPr>
                <w:rFonts w:ascii="宋体" w:hAnsi="宋体" w:cs="宋体"/>
                <w:color w:val="auto"/>
                <w:highlight w:val="none"/>
              </w:rPr>
            </w:pPr>
            <w:r>
              <w:rPr>
                <w:rFonts w:hint="eastAsia" w:ascii="宋体" w:hAnsi="宋体" w:cs="宋体"/>
                <w:color w:val="auto"/>
                <w:highlight w:val="none"/>
              </w:rPr>
              <w:t>应急预案</w:t>
            </w:r>
          </w:p>
        </w:tc>
        <w:tc>
          <w:tcPr>
            <w:tcW w:w="5707" w:type="dxa"/>
            <w:vAlign w:val="center"/>
          </w:tcPr>
          <w:p w14:paraId="24765077">
            <w:pPr>
              <w:rPr>
                <w:rFonts w:ascii="宋体" w:hAnsi="宋体" w:cs="宋体"/>
                <w:color w:val="auto"/>
                <w:highlight w:val="none"/>
              </w:rPr>
            </w:pPr>
            <w:r>
              <w:rPr>
                <w:highlight w:val="none"/>
              </w:rPr>
              <w:t>根据各供应商针对重大</w:t>
            </w:r>
            <w:r>
              <w:rPr>
                <w:rFonts w:hint="eastAsia"/>
                <w:highlight w:val="none"/>
                <w:lang w:eastAsia="zh-CN"/>
              </w:rPr>
              <w:t>事故</w:t>
            </w:r>
            <w:r>
              <w:rPr>
                <w:highlight w:val="none"/>
              </w:rPr>
              <w:t>或突发事件等特殊情况在</w:t>
            </w:r>
            <w:r>
              <w:rPr>
                <w:rFonts w:hint="eastAsia"/>
                <w:highlight w:val="none"/>
                <w:lang w:eastAsia="zh-CN"/>
              </w:rPr>
              <w:t>管理制度、</w:t>
            </w:r>
            <w:r>
              <w:rPr>
                <w:highlight w:val="none"/>
              </w:rPr>
              <w:t>传达机制、人员调配、责任分工等方面作出应急</w:t>
            </w:r>
            <w:r>
              <w:rPr>
                <w:rFonts w:hint="eastAsia"/>
                <w:highlight w:val="none"/>
                <w:lang w:eastAsia="zh-CN"/>
              </w:rPr>
              <w:t>预</w:t>
            </w:r>
            <w:r>
              <w:rPr>
                <w:highlight w:val="none"/>
              </w:rPr>
              <w:t>案进行评审：1</w:t>
            </w:r>
            <w:r>
              <w:rPr>
                <w:rFonts w:hint="eastAsia"/>
                <w:highlight w:val="none"/>
                <w:lang w:eastAsia="zh-CN"/>
              </w:rPr>
              <w:t>、</w:t>
            </w:r>
            <w:r>
              <w:rPr>
                <w:highlight w:val="none"/>
              </w:rPr>
              <w:t>应急</w:t>
            </w:r>
            <w:r>
              <w:rPr>
                <w:rFonts w:hint="eastAsia"/>
                <w:highlight w:val="none"/>
                <w:lang w:eastAsia="zh-CN"/>
              </w:rPr>
              <w:t>预</w:t>
            </w:r>
            <w:r>
              <w:rPr>
                <w:highlight w:val="none"/>
              </w:rPr>
              <w:t>案全面、详细、可行性高，操作性强得</w:t>
            </w:r>
            <w:r>
              <w:rPr>
                <w:rFonts w:hint="eastAsia"/>
                <w:highlight w:val="none"/>
                <w:lang w:val="en-US" w:eastAsia="zh-CN"/>
              </w:rPr>
              <w:t>10</w:t>
            </w:r>
            <w:r>
              <w:rPr>
                <w:highlight w:val="none"/>
              </w:rPr>
              <w:t>分；2</w:t>
            </w:r>
            <w:r>
              <w:rPr>
                <w:rFonts w:hint="eastAsia"/>
                <w:highlight w:val="none"/>
                <w:lang w:eastAsia="zh-CN"/>
              </w:rPr>
              <w:t>、</w:t>
            </w:r>
            <w:r>
              <w:rPr>
                <w:highlight w:val="none"/>
              </w:rPr>
              <w:t>应急</w:t>
            </w:r>
            <w:r>
              <w:rPr>
                <w:rFonts w:hint="eastAsia"/>
                <w:highlight w:val="none"/>
                <w:lang w:eastAsia="zh-CN"/>
              </w:rPr>
              <w:t>预</w:t>
            </w:r>
            <w:r>
              <w:rPr>
                <w:highlight w:val="none"/>
              </w:rPr>
              <w:t>案清晰但不全面，具有可行性、操作性</w:t>
            </w:r>
            <w:r>
              <w:rPr>
                <w:rFonts w:hint="eastAsia"/>
                <w:highlight w:val="none"/>
                <w:lang w:eastAsia="zh-CN"/>
              </w:rPr>
              <w:t>的，</w:t>
            </w:r>
            <w:r>
              <w:rPr>
                <w:highlight w:val="none"/>
              </w:rPr>
              <w:t>得</w:t>
            </w:r>
            <w:r>
              <w:rPr>
                <w:rFonts w:hint="eastAsia"/>
                <w:highlight w:val="none"/>
                <w:lang w:val="en-US" w:eastAsia="zh-CN"/>
              </w:rPr>
              <w:t>7</w:t>
            </w:r>
            <w:r>
              <w:rPr>
                <w:highlight w:val="none"/>
              </w:rPr>
              <w:t>分；3</w:t>
            </w:r>
            <w:r>
              <w:rPr>
                <w:rFonts w:hint="eastAsia"/>
                <w:highlight w:val="none"/>
                <w:lang w:eastAsia="zh-CN"/>
              </w:rPr>
              <w:t>、</w:t>
            </w:r>
            <w:r>
              <w:rPr>
                <w:highlight w:val="none"/>
              </w:rPr>
              <w:t>应急</w:t>
            </w:r>
            <w:r>
              <w:rPr>
                <w:rFonts w:hint="eastAsia"/>
                <w:highlight w:val="none"/>
                <w:lang w:eastAsia="zh-CN"/>
              </w:rPr>
              <w:t>预</w:t>
            </w:r>
            <w:r>
              <w:rPr>
                <w:highlight w:val="none"/>
              </w:rPr>
              <w:t>案不清晰、不全面，不具有可行性、操作性得</w:t>
            </w:r>
            <w:r>
              <w:rPr>
                <w:rFonts w:hint="eastAsia"/>
                <w:highlight w:val="none"/>
                <w:lang w:val="en-US" w:eastAsia="zh-CN"/>
              </w:rPr>
              <w:t>4</w:t>
            </w:r>
            <w:r>
              <w:rPr>
                <w:highlight w:val="none"/>
              </w:rPr>
              <w:t>分；4</w:t>
            </w:r>
            <w:r>
              <w:rPr>
                <w:rFonts w:hint="eastAsia"/>
                <w:highlight w:val="none"/>
                <w:lang w:eastAsia="zh-CN"/>
              </w:rPr>
              <w:t>、</w:t>
            </w:r>
            <w:r>
              <w:rPr>
                <w:highlight w:val="none"/>
              </w:rPr>
              <w:t>不提供得0分。</w:t>
            </w:r>
          </w:p>
        </w:tc>
        <w:tc>
          <w:tcPr>
            <w:tcW w:w="709" w:type="dxa"/>
            <w:tcBorders>
              <w:right w:val="single" w:color="auto" w:sz="4" w:space="0"/>
            </w:tcBorders>
            <w:vAlign w:val="center"/>
          </w:tcPr>
          <w:p w14:paraId="651BAC09">
            <w:pPr>
              <w:jc w:val="center"/>
              <w:rPr>
                <w:rFonts w:ascii="宋体" w:hAnsi="宋体" w:cs="宋体"/>
                <w:bCs/>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w:t>
            </w:r>
          </w:p>
        </w:tc>
        <w:tc>
          <w:tcPr>
            <w:tcW w:w="850" w:type="dxa"/>
            <w:tcBorders>
              <w:left w:val="single" w:color="auto" w:sz="4" w:space="0"/>
            </w:tcBorders>
            <w:vAlign w:val="center"/>
          </w:tcPr>
          <w:p w14:paraId="332B587E">
            <w:pPr>
              <w:jc w:val="center"/>
              <w:rPr>
                <w:rFonts w:ascii="宋体" w:hAnsi="宋体" w:cs="宋体"/>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分</w:t>
            </w:r>
          </w:p>
        </w:tc>
      </w:tr>
      <w:tr w14:paraId="76097F2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87" w:hRule="atLeast"/>
        </w:trPr>
        <w:tc>
          <w:tcPr>
            <w:tcW w:w="582" w:type="dxa"/>
            <w:tcBorders>
              <w:top w:val="single" w:color="auto" w:sz="4" w:space="0"/>
            </w:tcBorders>
            <w:vAlign w:val="center"/>
          </w:tcPr>
          <w:p w14:paraId="39AE2EDF">
            <w:pPr>
              <w:jc w:val="center"/>
              <w:rPr>
                <w:rFonts w:ascii="宋体" w:hAnsi="宋体" w:cs="宋体"/>
                <w:b/>
                <w:color w:val="auto"/>
                <w:highlight w:val="none"/>
              </w:rPr>
            </w:pPr>
            <w:r>
              <w:rPr>
                <w:rFonts w:hint="eastAsia" w:ascii="宋体" w:hAnsi="宋体" w:cs="宋体"/>
                <w:b/>
                <w:color w:val="auto"/>
                <w:highlight w:val="none"/>
              </w:rPr>
              <w:t>二</w:t>
            </w:r>
          </w:p>
        </w:tc>
        <w:tc>
          <w:tcPr>
            <w:tcW w:w="8505" w:type="dxa"/>
            <w:gridSpan w:val="4"/>
            <w:vAlign w:val="center"/>
          </w:tcPr>
          <w:p w14:paraId="4EA8C4CB">
            <w:pPr>
              <w:ind w:left="-78" w:leftChars="-37" w:right="-73" w:rightChars="-35"/>
              <w:jc w:val="center"/>
              <w:rPr>
                <w:rFonts w:ascii="宋体" w:hAnsi="宋体" w:cs="宋体"/>
                <w:b/>
                <w:color w:val="auto"/>
                <w:highlight w:val="none"/>
              </w:rPr>
            </w:pPr>
            <w:r>
              <w:rPr>
                <w:rFonts w:hint="eastAsia" w:ascii="宋体" w:hAnsi="宋体" w:cs="宋体"/>
                <w:b/>
                <w:color w:val="auto"/>
                <w:highlight w:val="none"/>
              </w:rPr>
              <w:t>商务部分</w:t>
            </w:r>
            <w:r>
              <w:rPr>
                <w:rFonts w:hint="eastAsia" w:ascii="宋体" w:hAnsi="宋体" w:cs="宋体"/>
                <w:color w:val="auto"/>
                <w:highlight w:val="none"/>
              </w:rPr>
              <w:t>(合计</w:t>
            </w:r>
            <w:r>
              <w:rPr>
                <w:rFonts w:hint="eastAsia" w:ascii="宋体" w:hAnsi="宋体" w:cs="宋体"/>
                <w:color w:val="auto"/>
                <w:highlight w:val="none"/>
                <w:lang w:val="en-US" w:eastAsia="zh-CN"/>
              </w:rPr>
              <w:t>20</w:t>
            </w:r>
            <w:r>
              <w:rPr>
                <w:rFonts w:hint="eastAsia" w:ascii="宋体" w:hAnsi="宋体" w:cs="宋体"/>
                <w:color w:val="auto"/>
                <w:highlight w:val="none"/>
              </w:rPr>
              <w:t>分)</w:t>
            </w:r>
          </w:p>
        </w:tc>
      </w:tr>
      <w:tr w14:paraId="61BB92F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tcBorders>
              <w:bottom w:val="single" w:color="auto" w:sz="4" w:space="0"/>
            </w:tcBorders>
            <w:vAlign w:val="center"/>
          </w:tcPr>
          <w:p w14:paraId="5A819D1D">
            <w:pPr>
              <w:pStyle w:val="20"/>
              <w:numPr>
                <w:ilvl w:val="0"/>
                <w:numId w:val="9"/>
              </w:numPr>
              <w:ind w:firstLineChars="0"/>
              <w:jc w:val="center"/>
              <w:rPr>
                <w:rFonts w:ascii="宋体" w:hAnsi="宋体" w:eastAsia="宋体" w:cs="宋体"/>
                <w:color w:val="auto"/>
                <w:szCs w:val="21"/>
                <w:highlight w:val="none"/>
              </w:rPr>
            </w:pPr>
          </w:p>
        </w:tc>
        <w:tc>
          <w:tcPr>
            <w:tcW w:w="1239" w:type="dxa"/>
            <w:vAlign w:val="center"/>
          </w:tcPr>
          <w:p w14:paraId="5652357F">
            <w:pPr>
              <w:snapToGrid w:val="0"/>
              <w:contextualSpacing/>
              <w:jc w:val="center"/>
              <w:rPr>
                <w:rFonts w:ascii="宋体" w:hAnsi="宋体" w:cs="宋体"/>
                <w:color w:val="auto"/>
                <w:highlight w:val="none"/>
              </w:rPr>
            </w:pPr>
            <w:r>
              <w:rPr>
                <w:rFonts w:hint="eastAsia" w:ascii="宋体" w:hAnsi="宋体"/>
                <w:highlight w:val="none"/>
              </w:rPr>
              <w:t>企业</w:t>
            </w:r>
            <w:r>
              <w:rPr>
                <w:rFonts w:hint="eastAsia" w:ascii="宋体" w:hAnsi="宋体"/>
                <w:highlight w:val="none"/>
                <w:lang w:eastAsia="zh-CN"/>
              </w:rPr>
              <w:t>标准</w:t>
            </w:r>
          </w:p>
        </w:tc>
        <w:tc>
          <w:tcPr>
            <w:tcW w:w="5707" w:type="dxa"/>
            <w:vAlign w:val="center"/>
          </w:tcPr>
          <w:p w14:paraId="1C78338E">
            <w:pPr>
              <w:rPr>
                <w:rFonts w:hint="eastAsia"/>
                <w:highlight w:val="none"/>
              </w:rPr>
            </w:pPr>
            <w:r>
              <w:rPr>
                <w:rFonts w:hint="eastAsia"/>
                <w:highlight w:val="none"/>
                <w:lang w:val="en-US" w:eastAsia="zh-CN"/>
              </w:rPr>
              <w:t>响应供应商具有</w:t>
            </w:r>
            <w:r>
              <w:rPr>
                <w:rFonts w:hint="eastAsia"/>
                <w:highlight w:val="none"/>
              </w:rPr>
              <w:t>质量管理体系认证</w:t>
            </w:r>
            <w:r>
              <w:rPr>
                <w:rFonts w:hint="eastAsia"/>
                <w:highlight w:val="none"/>
                <w:lang w:val="en-US" w:eastAsia="zh-CN"/>
              </w:rPr>
              <w:t>证书</w:t>
            </w:r>
            <w:r>
              <w:rPr>
                <w:rFonts w:hint="eastAsia"/>
                <w:highlight w:val="none"/>
              </w:rPr>
              <w:t>、环境管理体系认证</w:t>
            </w:r>
            <w:r>
              <w:rPr>
                <w:rFonts w:hint="eastAsia"/>
                <w:highlight w:val="none"/>
                <w:lang w:val="en-US" w:eastAsia="zh-CN"/>
              </w:rPr>
              <w:t>证书</w:t>
            </w:r>
            <w:r>
              <w:rPr>
                <w:rFonts w:hint="eastAsia"/>
                <w:highlight w:val="none"/>
              </w:rPr>
              <w:t>、职业健康安全管理体系认证</w:t>
            </w:r>
            <w:r>
              <w:rPr>
                <w:rFonts w:hint="eastAsia"/>
                <w:highlight w:val="none"/>
                <w:lang w:val="en-US" w:eastAsia="zh-CN"/>
              </w:rPr>
              <w:t>证书</w:t>
            </w:r>
            <w:r>
              <w:rPr>
                <w:rFonts w:hint="eastAsia"/>
                <w:highlight w:val="none"/>
                <w:lang w:eastAsia="zh-CN"/>
              </w:rPr>
              <w:t>的，</w:t>
            </w:r>
            <w:r>
              <w:rPr>
                <w:rFonts w:hint="eastAsia"/>
                <w:highlight w:val="none"/>
              </w:rPr>
              <w:t>每个得</w:t>
            </w:r>
            <w:r>
              <w:rPr>
                <w:rFonts w:hint="eastAsia"/>
                <w:highlight w:val="none"/>
                <w:lang w:val="en-US" w:eastAsia="zh-CN"/>
              </w:rPr>
              <w:t>2</w:t>
            </w:r>
            <w:r>
              <w:rPr>
                <w:rFonts w:hint="eastAsia"/>
                <w:highlight w:val="none"/>
              </w:rPr>
              <w:t>分，最高得</w:t>
            </w:r>
            <w:r>
              <w:rPr>
                <w:rFonts w:hint="eastAsia"/>
                <w:highlight w:val="none"/>
                <w:lang w:val="en-US" w:eastAsia="zh-CN"/>
              </w:rPr>
              <w:t>6</w:t>
            </w:r>
            <w:r>
              <w:rPr>
                <w:rFonts w:hint="eastAsia"/>
                <w:highlight w:val="none"/>
              </w:rPr>
              <w:t>分。</w:t>
            </w:r>
          </w:p>
          <w:p w14:paraId="446875A3">
            <w:pPr>
              <w:rPr>
                <w:rFonts w:hAnsi="宋体" w:cs="宋体"/>
                <w:color w:val="auto"/>
                <w:sz w:val="21"/>
                <w:highlight w:val="none"/>
              </w:rPr>
            </w:pPr>
            <w:r>
              <w:rPr>
                <w:rFonts w:hint="eastAsia"/>
                <w:highlight w:val="none"/>
              </w:rPr>
              <w:t>注：须提供相应证书复印件</w:t>
            </w:r>
            <w:r>
              <w:rPr>
                <w:rFonts w:hint="eastAsia"/>
                <w:highlight w:val="none"/>
                <w:lang w:val="en-US" w:eastAsia="zh-CN"/>
              </w:rPr>
              <w:t>或扫描件</w:t>
            </w:r>
            <w:r>
              <w:rPr>
                <w:rFonts w:hint="eastAsia"/>
                <w:highlight w:val="none"/>
              </w:rPr>
              <w:t>，</w:t>
            </w:r>
            <w:r>
              <w:rPr>
                <w:rFonts w:hint="eastAsia"/>
                <w:highlight w:val="none"/>
                <w:lang w:val="en-US" w:eastAsia="zh-CN"/>
              </w:rPr>
              <w:t>体系认证证书还需提供国家认证认可监督管理委员 会 认 证 结 果 （ http://cx.cnca.cn/CertECloud/index/index/page ） 网页有效截图作为评审依据，如显示已暂停、失效或撤销的不得分</w:t>
            </w:r>
            <w:r>
              <w:rPr>
                <w:rFonts w:hint="eastAsia"/>
                <w:highlight w:val="none"/>
              </w:rPr>
              <w:t>。</w:t>
            </w:r>
            <w:r>
              <w:rPr>
                <w:rFonts w:hint="eastAsia"/>
                <w:highlight w:val="none"/>
                <w:lang w:val="en-US" w:eastAsia="zh-CN"/>
              </w:rPr>
              <w:t>不提供则不得分。</w:t>
            </w:r>
          </w:p>
        </w:tc>
        <w:tc>
          <w:tcPr>
            <w:tcW w:w="709" w:type="dxa"/>
            <w:tcBorders>
              <w:right w:val="single" w:color="auto" w:sz="4" w:space="0"/>
            </w:tcBorders>
            <w:vAlign w:val="center"/>
          </w:tcPr>
          <w:p w14:paraId="3F81673B">
            <w:pPr>
              <w:snapToGrid w:val="0"/>
              <w:contextualSpacing/>
              <w:jc w:val="center"/>
              <w:rPr>
                <w:rFonts w:ascii="宋体" w:hAnsi="宋体" w:cs="宋体"/>
                <w:color w:val="auto"/>
                <w:highlight w:val="none"/>
              </w:rPr>
            </w:pPr>
            <w:r>
              <w:rPr>
                <w:rFonts w:hint="eastAsia" w:ascii="宋体" w:hAnsi="宋体"/>
                <w:color w:val="000000" w:themeColor="text1"/>
                <w:lang w:val="en-US" w:eastAsia="zh-CN"/>
                <w14:textFill>
                  <w14:solidFill>
                    <w14:schemeClr w14:val="tx1"/>
                  </w14:solidFill>
                </w14:textFill>
              </w:rPr>
              <w:t>6%</w:t>
            </w:r>
          </w:p>
        </w:tc>
        <w:tc>
          <w:tcPr>
            <w:tcW w:w="850" w:type="dxa"/>
            <w:tcBorders>
              <w:left w:val="single" w:color="auto" w:sz="4" w:space="0"/>
            </w:tcBorders>
            <w:vAlign w:val="center"/>
          </w:tcPr>
          <w:p w14:paraId="61E5CEB3">
            <w:pPr>
              <w:snapToGrid w:val="0"/>
              <w:contextualSpacing/>
              <w:jc w:val="center"/>
              <w:rPr>
                <w:rFonts w:ascii="宋体" w:hAnsi="宋体" w:cs="宋体"/>
                <w:color w:val="auto"/>
                <w:highlight w:val="none"/>
              </w:rPr>
            </w:pPr>
            <w:r>
              <w:rPr>
                <w:rFonts w:hint="eastAsia" w:ascii="宋体" w:hAnsi="宋体"/>
                <w:color w:val="000000" w:themeColor="text1"/>
                <w:lang w:val="en-US" w:eastAsia="zh-CN"/>
                <w14:textFill>
                  <w14:solidFill>
                    <w14:schemeClr w14:val="tx1"/>
                  </w14:solidFill>
                </w14:textFill>
              </w:rPr>
              <w:t>6分</w:t>
            </w:r>
          </w:p>
        </w:tc>
      </w:tr>
      <w:tr w14:paraId="68880C7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tcBorders>
              <w:bottom w:val="single" w:color="auto" w:sz="4" w:space="0"/>
            </w:tcBorders>
            <w:vAlign w:val="center"/>
          </w:tcPr>
          <w:p w14:paraId="57CB511D">
            <w:pPr>
              <w:pStyle w:val="20"/>
              <w:numPr>
                <w:ilvl w:val="0"/>
                <w:numId w:val="9"/>
              </w:numPr>
              <w:ind w:firstLineChars="0"/>
              <w:jc w:val="center"/>
              <w:rPr>
                <w:rFonts w:ascii="宋体" w:hAnsi="宋体" w:eastAsia="宋体" w:cs="宋体"/>
                <w:color w:val="auto"/>
                <w:szCs w:val="21"/>
                <w:highlight w:val="none"/>
              </w:rPr>
            </w:pPr>
          </w:p>
        </w:tc>
        <w:tc>
          <w:tcPr>
            <w:tcW w:w="1239" w:type="dxa"/>
            <w:vAlign w:val="center"/>
          </w:tcPr>
          <w:p w14:paraId="0C1BE360">
            <w:pPr>
              <w:snapToGrid w:val="0"/>
              <w:contextualSpacing/>
              <w:jc w:val="center"/>
              <w:rPr>
                <w:rFonts w:ascii="宋体" w:hAnsi="宋体" w:cs="宋体"/>
                <w:color w:val="auto"/>
                <w:highlight w:val="none"/>
              </w:rPr>
            </w:pPr>
            <w:r>
              <w:rPr>
                <w:rFonts w:hint="eastAsia" w:ascii="宋体" w:hAnsi="宋体"/>
                <w:highlight w:val="none"/>
                <w:lang w:val="en-US" w:eastAsia="zh-CN"/>
              </w:rPr>
              <w:t>项目业绩</w:t>
            </w:r>
          </w:p>
        </w:tc>
        <w:tc>
          <w:tcPr>
            <w:tcW w:w="5707" w:type="dxa"/>
            <w:vAlign w:val="center"/>
          </w:tcPr>
          <w:p w14:paraId="0CCDD893">
            <w:pPr>
              <w:rPr>
                <w:rFonts w:hint="eastAsia"/>
                <w:highlight w:val="none"/>
                <w:lang w:val="en-US" w:eastAsia="zh-CN"/>
              </w:rPr>
            </w:pPr>
            <w:r>
              <w:rPr>
                <w:rFonts w:hint="eastAsia"/>
                <w:highlight w:val="none"/>
                <w:lang w:val="en-US" w:eastAsia="zh-CN"/>
              </w:rPr>
              <w:t>2021年1月1日至今响应供应商承接过类似项目业绩的每个得2分，最高得4分。</w:t>
            </w:r>
          </w:p>
          <w:p w14:paraId="02882949">
            <w:pPr>
              <w:rPr>
                <w:rFonts w:hAnsi="宋体" w:cs="宋体"/>
                <w:color w:val="auto"/>
                <w:sz w:val="21"/>
                <w:highlight w:val="none"/>
              </w:rPr>
            </w:pPr>
            <w:r>
              <w:rPr>
                <w:rFonts w:hint="eastAsia"/>
                <w:highlight w:val="none"/>
                <w:lang w:val="en-US" w:eastAsia="zh-CN"/>
              </w:rPr>
              <w:t>注：提供中标通知书或合同关键页复印件加盖公章。</w:t>
            </w:r>
          </w:p>
        </w:tc>
        <w:tc>
          <w:tcPr>
            <w:tcW w:w="709" w:type="dxa"/>
            <w:tcBorders>
              <w:right w:val="single" w:color="auto" w:sz="4" w:space="0"/>
            </w:tcBorders>
            <w:vAlign w:val="center"/>
          </w:tcPr>
          <w:p w14:paraId="77893D84">
            <w:pPr>
              <w:snapToGrid w:val="0"/>
              <w:contextualSpacing/>
              <w:jc w:val="center"/>
              <w:rPr>
                <w:rFonts w:ascii="宋体" w:hAnsi="宋体" w:cs="宋体"/>
                <w:color w:val="auto"/>
                <w:highlight w:val="none"/>
              </w:rPr>
            </w:pPr>
            <w:r>
              <w:rPr>
                <w:rFonts w:hint="eastAsia" w:ascii="宋体" w:hAnsi="宋体"/>
                <w:color w:val="000000" w:themeColor="text1"/>
                <w:lang w:val="en-US" w:eastAsia="zh-CN"/>
                <w14:textFill>
                  <w14:solidFill>
                    <w14:schemeClr w14:val="tx1"/>
                  </w14:solidFill>
                </w14:textFill>
              </w:rPr>
              <w:t>4%</w:t>
            </w:r>
          </w:p>
        </w:tc>
        <w:tc>
          <w:tcPr>
            <w:tcW w:w="850" w:type="dxa"/>
            <w:tcBorders>
              <w:left w:val="single" w:color="auto" w:sz="4" w:space="0"/>
            </w:tcBorders>
            <w:vAlign w:val="center"/>
          </w:tcPr>
          <w:p w14:paraId="245FE7BC">
            <w:pPr>
              <w:snapToGrid w:val="0"/>
              <w:contextualSpacing/>
              <w:jc w:val="center"/>
              <w:rPr>
                <w:rFonts w:ascii="宋体" w:hAnsi="宋体" w:cs="宋体"/>
                <w:color w:val="auto"/>
                <w:highlight w:val="none"/>
              </w:rPr>
            </w:pPr>
            <w:r>
              <w:rPr>
                <w:rFonts w:hint="eastAsia" w:ascii="宋体" w:hAnsi="宋体"/>
                <w:color w:val="000000" w:themeColor="text1"/>
                <w:lang w:val="en-US" w:eastAsia="zh-CN"/>
                <w14:textFill>
                  <w14:solidFill>
                    <w14:schemeClr w14:val="tx1"/>
                  </w14:solidFill>
                </w14:textFill>
              </w:rPr>
              <w:t>4分</w:t>
            </w:r>
          </w:p>
        </w:tc>
      </w:tr>
      <w:tr w14:paraId="33F922E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tcBorders>
              <w:bottom w:val="single" w:color="auto" w:sz="4" w:space="0"/>
            </w:tcBorders>
            <w:vAlign w:val="center"/>
          </w:tcPr>
          <w:p w14:paraId="3050140A">
            <w:pPr>
              <w:pStyle w:val="20"/>
              <w:numPr>
                <w:ilvl w:val="0"/>
                <w:numId w:val="9"/>
              </w:numPr>
              <w:ind w:firstLineChars="0"/>
              <w:jc w:val="center"/>
              <w:rPr>
                <w:rFonts w:ascii="宋体" w:hAnsi="宋体" w:eastAsia="宋体" w:cs="宋体"/>
                <w:color w:val="auto"/>
                <w:szCs w:val="21"/>
                <w:highlight w:val="none"/>
              </w:rPr>
            </w:pPr>
          </w:p>
        </w:tc>
        <w:tc>
          <w:tcPr>
            <w:tcW w:w="1239" w:type="dxa"/>
            <w:vAlign w:val="center"/>
          </w:tcPr>
          <w:p w14:paraId="41FE6071">
            <w:pPr>
              <w:snapToGrid w:val="0"/>
              <w:contextualSpacing/>
              <w:jc w:val="center"/>
              <w:rPr>
                <w:rFonts w:hint="eastAsia" w:ascii="宋体" w:hAnsi="宋体" w:cs="宋体"/>
                <w:color w:val="auto"/>
                <w:highlight w:val="none"/>
              </w:rPr>
            </w:pPr>
            <w:r>
              <w:rPr>
                <w:rFonts w:hint="eastAsia" w:ascii="宋体" w:hAnsi="宋体"/>
                <w:highlight w:val="none"/>
                <w:lang w:val="en-US" w:eastAsia="zh-CN"/>
              </w:rPr>
              <w:t>项目人员</w:t>
            </w:r>
          </w:p>
        </w:tc>
        <w:tc>
          <w:tcPr>
            <w:tcW w:w="5707" w:type="dxa"/>
            <w:vAlign w:val="center"/>
          </w:tcPr>
          <w:p w14:paraId="5FFC1340">
            <w:pPr>
              <w:rPr>
                <w:rFonts w:hint="eastAsia" w:ascii="宋体" w:hAnsi="宋体" w:eastAsia="宋体" w:cs="宋体"/>
                <w:szCs w:val="21"/>
                <w:highlight w:val="none"/>
                <w:lang w:val="en-US" w:eastAsia="zh-CN" w:bidi="ar"/>
              </w:rPr>
            </w:pPr>
            <w:r>
              <w:rPr>
                <w:rFonts w:hint="default" w:ascii="宋体" w:hAnsi="宋体" w:eastAsia="宋体" w:cs="宋体"/>
                <w:szCs w:val="21"/>
                <w:highlight w:val="none"/>
                <w:lang w:val="en-US" w:eastAsia="zh-CN" w:bidi="ar"/>
              </w:rPr>
              <w:t>拟派项目管理人员：</w:t>
            </w:r>
            <w:r>
              <w:t>配备专职安全员、施工员、资料员、质量员、材料员每配备其中一个岗位人员得</w:t>
            </w:r>
            <w:r>
              <w:rPr>
                <w:rFonts w:hint="eastAsia"/>
                <w:lang w:val="en-US" w:eastAsia="zh-CN"/>
              </w:rPr>
              <w:t>2</w:t>
            </w:r>
            <w:r>
              <w:t>分，重复岗位不叠加得分，本小项满分</w:t>
            </w:r>
            <w:r>
              <w:rPr>
                <w:rFonts w:hint="eastAsia"/>
                <w:lang w:val="en-US" w:eastAsia="zh-CN"/>
              </w:rPr>
              <w:t>10</w:t>
            </w:r>
            <w:r>
              <w:t>分</w:t>
            </w:r>
            <w:r>
              <w:rPr>
                <w:rFonts w:hint="eastAsia"/>
                <w:lang w:eastAsia="zh-CN"/>
              </w:rPr>
              <w:t>。</w:t>
            </w:r>
          </w:p>
          <w:p w14:paraId="37FFD32F">
            <w:pPr>
              <w:rPr>
                <w:rFonts w:hint="eastAsia" w:ascii="Times New Roman" w:hAnsi="Times New Roman" w:eastAsia="宋体" w:cs="Times New Roman"/>
                <w:sz w:val="21"/>
                <w:szCs w:val="21"/>
                <w:highlight w:val="none"/>
                <w:lang w:val="en-US" w:eastAsia="zh-CN" w:bidi="ar-SA"/>
              </w:rPr>
            </w:pPr>
            <w:r>
              <w:rPr>
                <w:rFonts w:hint="default" w:ascii="宋体" w:hAnsi="宋体" w:eastAsia="宋体" w:cs="宋体"/>
                <w:szCs w:val="21"/>
                <w:highlight w:val="none"/>
                <w:lang w:val="en-US" w:eastAsia="zh-CN" w:bidi="ar"/>
              </w:rPr>
              <w:t>注：提供相关证书复印件及近6个月</w:t>
            </w:r>
            <w:r>
              <w:rPr>
                <w:rFonts w:hint="eastAsia" w:ascii="宋体" w:hAnsi="宋体" w:cs="宋体"/>
                <w:szCs w:val="21"/>
                <w:highlight w:val="none"/>
                <w:lang w:val="en-US" w:eastAsia="zh-CN" w:bidi="ar"/>
              </w:rPr>
              <w:t>任一个月在响应供应商</w:t>
            </w:r>
            <w:r>
              <w:rPr>
                <w:rFonts w:hint="default" w:ascii="宋体" w:hAnsi="宋体" w:eastAsia="宋体" w:cs="宋体"/>
                <w:szCs w:val="21"/>
                <w:highlight w:val="none"/>
                <w:lang w:val="en-US" w:eastAsia="zh-CN" w:bidi="ar"/>
              </w:rPr>
              <w:t>缴纳的社保证明材料复印件加盖公章。</w:t>
            </w:r>
          </w:p>
        </w:tc>
        <w:tc>
          <w:tcPr>
            <w:tcW w:w="709" w:type="dxa"/>
            <w:tcBorders>
              <w:right w:val="single" w:color="auto" w:sz="4" w:space="0"/>
            </w:tcBorders>
            <w:vAlign w:val="center"/>
          </w:tcPr>
          <w:p w14:paraId="180CE071">
            <w:pPr>
              <w:snapToGrid w:val="0"/>
              <w:contextualSpacing/>
              <w:jc w:val="center"/>
              <w:rPr>
                <w:rFonts w:hint="eastAsia" w:ascii="宋体" w:hAnsi="宋体" w:cs="宋体"/>
                <w:color w:val="auto"/>
                <w:highlight w:val="none"/>
              </w:rPr>
            </w:pPr>
            <w:r>
              <w:rPr>
                <w:rFonts w:hint="eastAsia" w:ascii="宋体" w:hAnsi="宋体"/>
                <w:color w:val="000000" w:themeColor="text1"/>
                <w:lang w:val="en-US" w:eastAsia="zh-CN"/>
                <w14:textFill>
                  <w14:solidFill>
                    <w14:schemeClr w14:val="tx1"/>
                  </w14:solidFill>
                </w14:textFill>
              </w:rPr>
              <w:t>10%</w:t>
            </w:r>
          </w:p>
        </w:tc>
        <w:tc>
          <w:tcPr>
            <w:tcW w:w="850" w:type="dxa"/>
            <w:tcBorders>
              <w:left w:val="single" w:color="auto" w:sz="4" w:space="0"/>
            </w:tcBorders>
            <w:vAlign w:val="center"/>
          </w:tcPr>
          <w:p w14:paraId="4B128216">
            <w:pPr>
              <w:snapToGrid w:val="0"/>
              <w:contextualSpacing/>
              <w:jc w:val="center"/>
              <w:rPr>
                <w:rFonts w:hint="eastAsia" w:ascii="宋体" w:hAnsi="宋体" w:cs="宋体"/>
                <w:color w:val="auto"/>
                <w:highlight w:val="none"/>
              </w:rPr>
            </w:pPr>
            <w:r>
              <w:rPr>
                <w:rFonts w:hint="eastAsia" w:ascii="宋体" w:hAnsi="宋体"/>
                <w:color w:val="000000" w:themeColor="text1"/>
                <w:lang w:val="en-US" w:eastAsia="zh-CN"/>
                <w14:textFill>
                  <w14:solidFill>
                    <w14:schemeClr w14:val="tx1"/>
                  </w14:solidFill>
                </w14:textFill>
              </w:rPr>
              <w:t>10分</w:t>
            </w:r>
          </w:p>
        </w:tc>
      </w:tr>
      <w:tr w14:paraId="573D64F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7" w:hRule="atLeast"/>
        </w:trPr>
        <w:tc>
          <w:tcPr>
            <w:tcW w:w="582" w:type="dxa"/>
            <w:tcBorders>
              <w:top w:val="single" w:color="auto" w:sz="4" w:space="0"/>
            </w:tcBorders>
            <w:vAlign w:val="center"/>
          </w:tcPr>
          <w:p w14:paraId="2EF29837">
            <w:pPr>
              <w:jc w:val="center"/>
              <w:rPr>
                <w:rFonts w:ascii="宋体" w:hAnsi="宋体" w:cs="宋体"/>
                <w:b/>
                <w:color w:val="auto"/>
                <w:highlight w:val="none"/>
              </w:rPr>
            </w:pPr>
            <w:r>
              <w:rPr>
                <w:rFonts w:hint="eastAsia" w:ascii="宋体" w:hAnsi="宋体" w:cs="宋体"/>
                <w:b/>
                <w:color w:val="auto"/>
                <w:highlight w:val="none"/>
              </w:rPr>
              <w:t>三</w:t>
            </w:r>
          </w:p>
        </w:tc>
        <w:tc>
          <w:tcPr>
            <w:tcW w:w="8505" w:type="dxa"/>
            <w:gridSpan w:val="4"/>
            <w:vAlign w:val="center"/>
          </w:tcPr>
          <w:p w14:paraId="0EF14AD9">
            <w:pPr>
              <w:ind w:left="-78" w:leftChars="-37" w:right="-73" w:rightChars="-35"/>
              <w:jc w:val="center"/>
              <w:rPr>
                <w:rFonts w:ascii="宋体" w:hAnsi="宋体" w:cs="宋体"/>
                <w:color w:val="auto"/>
                <w:highlight w:val="none"/>
              </w:rPr>
            </w:pPr>
            <w:r>
              <w:rPr>
                <w:rFonts w:hint="eastAsia" w:ascii="宋体" w:hAnsi="宋体" w:cs="宋体"/>
                <w:b/>
                <w:bCs/>
                <w:color w:val="auto"/>
                <w:highlight w:val="none"/>
              </w:rPr>
              <w:t>价格部分(合计</w:t>
            </w:r>
            <w:r>
              <w:rPr>
                <w:rFonts w:hint="eastAsia" w:ascii="宋体" w:hAnsi="宋体" w:cs="宋体"/>
                <w:b/>
                <w:bCs/>
                <w:color w:val="auto"/>
                <w:highlight w:val="none"/>
                <w:lang w:val="en-US" w:eastAsia="zh-CN"/>
              </w:rPr>
              <w:t>3</w:t>
            </w:r>
            <w:r>
              <w:rPr>
                <w:rFonts w:hint="eastAsia" w:ascii="宋体" w:hAnsi="宋体" w:cs="宋体"/>
                <w:b/>
                <w:bCs/>
                <w:color w:val="auto"/>
                <w:highlight w:val="none"/>
              </w:rPr>
              <w:t>0分)</w:t>
            </w:r>
          </w:p>
        </w:tc>
      </w:tr>
      <w:tr w14:paraId="573C22D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50E2B1D9">
            <w:pPr>
              <w:jc w:val="center"/>
              <w:rPr>
                <w:rFonts w:ascii="宋体" w:hAnsi="宋体" w:cs="宋体"/>
                <w:color w:val="auto"/>
                <w:highlight w:val="none"/>
              </w:rPr>
            </w:pPr>
            <w:r>
              <w:rPr>
                <w:rFonts w:hint="eastAsia" w:ascii="宋体" w:hAnsi="宋体" w:cs="宋体"/>
                <w:color w:val="auto"/>
                <w:highlight w:val="none"/>
              </w:rPr>
              <w:t>1</w:t>
            </w:r>
          </w:p>
        </w:tc>
        <w:tc>
          <w:tcPr>
            <w:tcW w:w="1239" w:type="dxa"/>
            <w:vAlign w:val="center"/>
          </w:tcPr>
          <w:p w14:paraId="7D51D866">
            <w:pPr>
              <w:jc w:val="center"/>
              <w:rPr>
                <w:rFonts w:ascii="宋体" w:hAnsi="宋体" w:cs="宋体"/>
                <w:color w:val="auto"/>
                <w:highlight w:val="none"/>
              </w:rPr>
            </w:pPr>
            <w:r>
              <w:rPr>
                <w:rFonts w:hint="eastAsia" w:ascii="宋体" w:hAnsi="宋体" w:cs="宋体"/>
                <w:color w:val="auto"/>
                <w:highlight w:val="none"/>
              </w:rPr>
              <w:t>最终磋商报价</w:t>
            </w:r>
          </w:p>
        </w:tc>
        <w:tc>
          <w:tcPr>
            <w:tcW w:w="5707" w:type="dxa"/>
            <w:vAlign w:val="center"/>
          </w:tcPr>
          <w:p w14:paraId="5B52ABCF">
            <w:pPr>
              <w:snapToGrid w:val="0"/>
              <w:rPr>
                <w:rFonts w:ascii="宋体" w:hAnsi="宋体" w:cs="宋体"/>
                <w:color w:val="auto"/>
                <w:highlight w:val="none"/>
              </w:rPr>
            </w:pPr>
            <w:r>
              <w:rPr>
                <w:rFonts w:hint="eastAsia" w:ascii="宋体" w:hAnsi="宋体" w:cs="宋体"/>
                <w:color w:val="auto"/>
                <w:highlight w:val="none"/>
              </w:rPr>
              <w:t>价格分应当采用低价优先法计算，即满足磋商文件要求且最低的最终磋商报价为评标基准价，其价格分为满分。其他响应供应商的价格分统一按照下列公式计算：</w:t>
            </w:r>
          </w:p>
          <w:p w14:paraId="236C5D9A">
            <w:pPr>
              <w:widowControl/>
              <w:rPr>
                <w:rFonts w:ascii="宋体" w:hAnsi="宋体" w:cs="宋体"/>
                <w:color w:val="auto"/>
                <w:highlight w:val="none"/>
              </w:rPr>
            </w:pPr>
            <w:r>
              <w:rPr>
                <w:rFonts w:hint="eastAsia" w:ascii="宋体" w:hAnsi="宋体" w:cs="宋体"/>
                <w:color w:val="auto"/>
                <w:highlight w:val="none"/>
              </w:rPr>
              <w:t>投标报价得分=(评标基准价／最终磋商报价)×100×权重</w:t>
            </w:r>
          </w:p>
          <w:p w14:paraId="63E414A0">
            <w:pPr>
              <w:widowControl/>
              <w:rPr>
                <w:rFonts w:ascii="宋体" w:hAnsi="宋体" w:cs="宋体"/>
                <w:color w:val="auto"/>
                <w:highlight w:val="none"/>
              </w:rPr>
            </w:pPr>
            <w:r>
              <w:rPr>
                <w:rFonts w:hint="eastAsia" w:ascii="宋体" w:hAnsi="宋体" w:cs="宋体"/>
                <w:bCs/>
                <w:color w:val="auto"/>
                <w:highlight w:val="none"/>
              </w:rPr>
              <w:t>备注：1、因落实政府采购政策进行价格调整的，以调整后的价格计算投标报价得分</w:t>
            </w:r>
            <w:r>
              <w:rPr>
                <w:rFonts w:hint="eastAsia" w:ascii="宋体" w:hAnsi="宋体" w:cs="宋体"/>
                <w:color w:val="auto"/>
                <w:highlight w:val="none"/>
              </w:rPr>
              <w:t>,详见《价格扣除》。</w:t>
            </w:r>
          </w:p>
          <w:p w14:paraId="64E4E45E">
            <w:pPr>
              <w:rPr>
                <w:rFonts w:ascii="宋体" w:hAnsi="宋体" w:cs="宋体"/>
                <w:bCs/>
                <w:color w:val="auto"/>
                <w:highlight w:val="none"/>
              </w:rPr>
            </w:pPr>
            <w:r>
              <w:rPr>
                <w:rFonts w:hint="eastAsia" w:ascii="宋体" w:hAnsi="宋体" w:cs="宋体"/>
                <w:bCs/>
                <w:color w:val="auto"/>
                <w:highlight w:val="none"/>
              </w:rPr>
              <w:t>2、投标报价得分四舍五入后，</w:t>
            </w:r>
            <w:r>
              <w:rPr>
                <w:rFonts w:hint="eastAsia" w:ascii="宋体" w:hAnsi="宋体" w:cs="宋体"/>
                <w:color w:val="auto"/>
                <w:szCs w:val="20"/>
                <w:highlight w:val="none"/>
              </w:rPr>
              <w:t>小数点后保留两位有效数</w:t>
            </w:r>
            <w:r>
              <w:rPr>
                <w:rFonts w:hint="eastAsia" w:ascii="宋体" w:hAnsi="宋体" w:cs="宋体"/>
                <w:bCs/>
                <w:color w:val="auto"/>
                <w:highlight w:val="none"/>
              </w:rPr>
              <w:t>；</w:t>
            </w:r>
          </w:p>
        </w:tc>
        <w:tc>
          <w:tcPr>
            <w:tcW w:w="709" w:type="dxa"/>
            <w:tcBorders>
              <w:right w:val="single" w:color="auto" w:sz="4" w:space="0"/>
            </w:tcBorders>
            <w:vAlign w:val="center"/>
          </w:tcPr>
          <w:p w14:paraId="068A1A82">
            <w:pPr>
              <w:ind w:left="-78" w:leftChars="-37" w:right="-73" w:rightChars="-35"/>
              <w:jc w:val="center"/>
              <w:rPr>
                <w:rFonts w:ascii="宋体" w:hAnsi="宋体" w:cs="宋体"/>
                <w:color w:val="auto"/>
                <w:highlight w:val="none"/>
              </w:rPr>
            </w:pPr>
            <w:r>
              <w:rPr>
                <w:rFonts w:hint="eastAsia" w:ascii="宋体" w:hAnsi="宋体" w:cs="宋体"/>
                <w:color w:val="auto"/>
                <w:highlight w:val="none"/>
                <w:lang w:val="en-US" w:eastAsia="zh-CN"/>
              </w:rPr>
              <w:t>3</w:t>
            </w:r>
            <w:r>
              <w:rPr>
                <w:rFonts w:hint="eastAsia" w:ascii="宋体" w:hAnsi="宋体" w:cs="宋体"/>
                <w:color w:val="auto"/>
                <w:highlight w:val="none"/>
              </w:rPr>
              <w:t xml:space="preserve">0% </w:t>
            </w:r>
          </w:p>
        </w:tc>
        <w:tc>
          <w:tcPr>
            <w:tcW w:w="850" w:type="dxa"/>
            <w:tcBorders>
              <w:left w:val="single" w:color="auto" w:sz="4" w:space="0"/>
            </w:tcBorders>
            <w:vAlign w:val="center"/>
          </w:tcPr>
          <w:p w14:paraId="644F59A6">
            <w:pPr>
              <w:ind w:left="-78" w:leftChars="-37" w:right="-73" w:rightChars="-35"/>
              <w:jc w:val="center"/>
              <w:rPr>
                <w:rFonts w:ascii="宋体" w:hAnsi="宋体" w:cs="宋体"/>
                <w:color w:val="auto"/>
                <w:highlight w:val="none"/>
              </w:rPr>
            </w:pPr>
            <w:r>
              <w:rPr>
                <w:rFonts w:hint="eastAsia" w:ascii="宋体" w:hAnsi="宋体" w:cs="宋体"/>
                <w:color w:val="auto"/>
                <w:highlight w:val="none"/>
                <w:lang w:val="en-US" w:eastAsia="zh-CN"/>
              </w:rPr>
              <w:t>30</w:t>
            </w:r>
            <w:r>
              <w:rPr>
                <w:rFonts w:hint="eastAsia" w:ascii="宋体" w:hAnsi="宋体" w:cs="宋体"/>
                <w:color w:val="auto"/>
                <w:highlight w:val="none"/>
              </w:rPr>
              <w:t>分</w:t>
            </w:r>
          </w:p>
        </w:tc>
      </w:tr>
      <w:tr w14:paraId="326E38F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54" w:hRule="atLeast"/>
        </w:trPr>
        <w:tc>
          <w:tcPr>
            <w:tcW w:w="7528" w:type="dxa"/>
            <w:gridSpan w:val="3"/>
            <w:vAlign w:val="center"/>
          </w:tcPr>
          <w:p w14:paraId="625D6AC1">
            <w:pPr>
              <w:ind w:left="-78" w:leftChars="-37" w:right="-73" w:rightChars="-35"/>
              <w:jc w:val="center"/>
              <w:rPr>
                <w:rFonts w:ascii="宋体" w:hAnsi="宋体" w:cs="宋体"/>
                <w:color w:val="auto"/>
                <w:highlight w:val="none"/>
              </w:rPr>
            </w:pPr>
            <w:r>
              <w:rPr>
                <w:rFonts w:hint="eastAsia" w:ascii="宋体" w:hAnsi="宋体" w:cs="宋体"/>
                <w:color w:val="auto"/>
                <w:highlight w:val="none"/>
              </w:rPr>
              <w:t>合计</w:t>
            </w:r>
          </w:p>
        </w:tc>
        <w:tc>
          <w:tcPr>
            <w:tcW w:w="709" w:type="dxa"/>
            <w:tcBorders>
              <w:right w:val="single" w:color="auto" w:sz="4" w:space="0"/>
            </w:tcBorders>
            <w:vAlign w:val="center"/>
          </w:tcPr>
          <w:p w14:paraId="44974019">
            <w:pPr>
              <w:ind w:left="-78" w:leftChars="-37" w:right="-73" w:rightChars="-35"/>
              <w:jc w:val="center"/>
              <w:rPr>
                <w:rFonts w:ascii="宋体" w:hAnsi="宋体" w:cs="宋体"/>
                <w:color w:val="auto"/>
                <w:highlight w:val="none"/>
              </w:rPr>
            </w:pPr>
            <w:r>
              <w:rPr>
                <w:rFonts w:hint="eastAsia" w:ascii="宋体" w:hAnsi="宋体" w:cs="宋体"/>
                <w:color w:val="auto"/>
                <w:highlight w:val="none"/>
              </w:rPr>
              <w:t xml:space="preserve">100% </w:t>
            </w:r>
          </w:p>
        </w:tc>
        <w:tc>
          <w:tcPr>
            <w:tcW w:w="850" w:type="dxa"/>
            <w:tcBorders>
              <w:left w:val="single" w:color="auto" w:sz="4" w:space="0"/>
            </w:tcBorders>
            <w:vAlign w:val="center"/>
          </w:tcPr>
          <w:p w14:paraId="2F86CA1F">
            <w:pPr>
              <w:ind w:left="-78" w:leftChars="-37" w:right="-73" w:rightChars="-35"/>
              <w:jc w:val="center"/>
              <w:rPr>
                <w:rFonts w:ascii="宋体" w:hAnsi="宋体" w:cs="宋体"/>
                <w:color w:val="auto"/>
                <w:highlight w:val="none"/>
              </w:rPr>
            </w:pPr>
            <w:r>
              <w:rPr>
                <w:rFonts w:hint="eastAsia" w:ascii="宋体" w:hAnsi="宋体" w:cs="宋体"/>
                <w:color w:val="auto"/>
                <w:highlight w:val="none"/>
              </w:rPr>
              <w:t>100分</w:t>
            </w:r>
          </w:p>
        </w:tc>
      </w:tr>
    </w:tbl>
    <w:p w14:paraId="0AE901AF"/>
    <w:p w14:paraId="239AD9D2">
      <w:pPr>
        <w:snapToGrid w:val="0"/>
        <w:spacing w:line="360" w:lineRule="auto"/>
        <w:rPr>
          <w:rFonts w:hint="eastAsia" w:ascii="宋体" w:cs="宋体"/>
          <w:snapToGrid w:val="0"/>
        </w:rPr>
      </w:pPr>
      <w:r>
        <w:rPr>
          <w:rFonts w:hint="eastAsia" w:ascii="宋体" w:cs="宋体"/>
          <w:snapToGrid w:val="0"/>
        </w:rPr>
        <w:t>备注：</w:t>
      </w:r>
    </w:p>
    <w:p w14:paraId="7C62182B">
      <w:pPr>
        <w:numPr>
          <w:ilvl w:val="0"/>
          <w:numId w:val="10"/>
        </w:numPr>
        <w:snapToGrid w:val="0"/>
        <w:spacing w:line="360" w:lineRule="auto"/>
        <w:rPr>
          <w:rFonts w:hint="eastAsia" w:ascii="宋体" w:hAnsi="宋体"/>
          <w:bCs/>
        </w:rPr>
      </w:pPr>
      <w:r>
        <w:rPr>
          <w:rFonts w:hint="eastAsia" w:ascii="宋体" w:hAnsi="宋体"/>
          <w:bCs/>
        </w:rPr>
        <w:t>竞争性磋商文件要求提交的与评价指标体系相关的各类有效资料，响应供应商如未按要求提交的，该项评分为零分。</w:t>
      </w:r>
    </w:p>
    <w:p w14:paraId="2B616802">
      <w:pPr>
        <w:numPr>
          <w:ilvl w:val="0"/>
          <w:numId w:val="0"/>
        </w:numPr>
        <w:snapToGrid w:val="0"/>
        <w:spacing w:line="360" w:lineRule="auto"/>
        <w:rPr>
          <w:rFonts w:hint="eastAsia" w:ascii="仿宋_GB2312" w:eastAsia="仿宋_GB2312"/>
          <w:b/>
          <w:bCs/>
          <w:kern w:val="2"/>
          <w:sz w:val="28"/>
          <w:szCs w:val="28"/>
        </w:rPr>
      </w:pPr>
      <w:r>
        <w:rPr>
          <w:rFonts w:hint="eastAsia" w:ascii="宋体" w:hAnsi="宋体" w:cs="Times New Roman"/>
          <w:bCs/>
          <w:lang w:val="en-US" w:eastAsia="zh-CN"/>
        </w:rPr>
        <w:t>2、</w:t>
      </w:r>
      <w:r>
        <w:rPr>
          <w:rFonts w:hint="eastAsia" w:ascii="宋体" w:hAnsi="宋体" w:cs="Times New Roman"/>
          <w:bCs/>
        </w:rPr>
        <w:t>技术、商务部分评分：所有评委评分分值的算术平均值（四舍五入后，小数点后保留两位有效数）。</w:t>
      </w:r>
    </w:p>
    <w:p w14:paraId="79F1FC04">
      <w:pPr>
        <w:numPr>
          <w:ilvl w:val="0"/>
          <w:numId w:val="0"/>
        </w:numPr>
        <w:tabs>
          <w:tab w:val="left" w:pos="284"/>
        </w:tabs>
        <w:autoSpaceDE/>
        <w:autoSpaceDN/>
        <w:adjustRightInd/>
        <w:snapToGrid w:val="0"/>
        <w:spacing w:line="360" w:lineRule="auto"/>
        <w:ind w:leftChars="0"/>
        <w:jc w:val="both"/>
        <w:rPr>
          <w:rFonts w:hint="eastAsia" w:ascii="仿宋_GB2312" w:eastAsia="仿宋_GB2312"/>
          <w:b/>
          <w:bCs/>
          <w:kern w:val="2"/>
          <w:sz w:val="28"/>
          <w:szCs w:val="28"/>
        </w:rPr>
      </w:pPr>
      <w:r>
        <w:rPr>
          <w:rFonts w:hint="eastAsia" w:ascii="宋体" w:hAnsi="宋体" w:cs="Times New Roman"/>
          <w:bCs/>
          <w:lang w:val="en-US" w:eastAsia="zh-CN"/>
        </w:rPr>
        <w:t>3、</w:t>
      </w:r>
      <w:r>
        <w:rPr>
          <w:rFonts w:hint="eastAsia" w:ascii="宋体" w:hAnsi="宋体" w:cs="Times New Roman"/>
          <w:bCs/>
        </w:rPr>
        <w:t>评审内容中所要求提交“原件”独立封装，并内附“资料原件提交清单”（详见第六章响应文件格式），以便评审</w:t>
      </w:r>
      <w:r>
        <w:rPr>
          <w:rFonts w:hint="eastAsia" w:ascii="宋体" w:hAnsi="宋体"/>
          <w:bCs/>
        </w:rPr>
        <w:t>委员会核对，如未提供原件的，该项评分为0分。“原件”与响应文件同时递交（采购代理机构不接收投标截止后递交的原件），评标结束当日退回。</w:t>
      </w:r>
      <w:bookmarkStart w:id="22" w:name="_Toc16250"/>
    </w:p>
    <w:p w14:paraId="12E69252">
      <w:pPr>
        <w:autoSpaceDE/>
        <w:autoSpaceDN/>
        <w:adjustRightInd/>
        <w:spacing w:line="360" w:lineRule="auto"/>
        <w:jc w:val="both"/>
        <w:outlineLvl w:val="0"/>
        <w:rPr>
          <w:rFonts w:hint="eastAsia" w:ascii="仿宋_GB2312" w:eastAsia="仿宋_GB2312"/>
          <w:b/>
          <w:bCs/>
          <w:kern w:val="2"/>
          <w:sz w:val="28"/>
          <w:szCs w:val="28"/>
        </w:rPr>
      </w:pPr>
    </w:p>
    <w:p w14:paraId="1BF39F47">
      <w:pPr>
        <w:pStyle w:val="17"/>
        <w:rPr>
          <w:rFonts w:hint="eastAsia" w:ascii="仿宋_GB2312" w:eastAsia="仿宋_GB2312"/>
          <w:b/>
          <w:bCs/>
          <w:kern w:val="2"/>
          <w:sz w:val="28"/>
          <w:szCs w:val="28"/>
        </w:rPr>
      </w:pPr>
    </w:p>
    <w:p w14:paraId="4D594B09">
      <w:pPr>
        <w:pStyle w:val="17"/>
        <w:rPr>
          <w:rFonts w:hint="eastAsia" w:ascii="仿宋_GB2312" w:eastAsia="仿宋_GB2312"/>
          <w:b/>
          <w:bCs/>
          <w:kern w:val="2"/>
          <w:sz w:val="28"/>
          <w:szCs w:val="28"/>
        </w:rPr>
      </w:pPr>
    </w:p>
    <w:p w14:paraId="745E620B">
      <w:pPr>
        <w:pStyle w:val="17"/>
        <w:rPr>
          <w:rFonts w:hint="eastAsia" w:ascii="仿宋_GB2312" w:eastAsia="仿宋_GB2312"/>
          <w:b/>
          <w:bCs/>
          <w:kern w:val="2"/>
          <w:sz w:val="28"/>
          <w:szCs w:val="28"/>
        </w:rPr>
      </w:pPr>
    </w:p>
    <w:p w14:paraId="77ED4029">
      <w:pPr>
        <w:pStyle w:val="17"/>
        <w:rPr>
          <w:rFonts w:hint="eastAsia" w:ascii="仿宋_GB2312" w:eastAsia="仿宋_GB2312"/>
          <w:b/>
          <w:bCs/>
          <w:kern w:val="2"/>
          <w:sz w:val="28"/>
          <w:szCs w:val="28"/>
        </w:rPr>
      </w:pPr>
    </w:p>
    <w:p w14:paraId="0E271F29">
      <w:pPr>
        <w:pStyle w:val="17"/>
        <w:rPr>
          <w:rFonts w:hint="eastAsia" w:ascii="仿宋_GB2312" w:eastAsia="仿宋_GB2312"/>
          <w:b/>
          <w:bCs/>
          <w:kern w:val="2"/>
          <w:sz w:val="28"/>
          <w:szCs w:val="28"/>
        </w:rPr>
      </w:pPr>
    </w:p>
    <w:p w14:paraId="1BB185F9">
      <w:pPr>
        <w:pStyle w:val="17"/>
        <w:rPr>
          <w:rFonts w:hint="eastAsia" w:ascii="仿宋_GB2312" w:eastAsia="仿宋_GB2312"/>
          <w:b/>
          <w:bCs/>
          <w:kern w:val="2"/>
          <w:sz w:val="28"/>
          <w:szCs w:val="28"/>
        </w:rPr>
      </w:pPr>
    </w:p>
    <w:p w14:paraId="647A8F82">
      <w:pPr>
        <w:pStyle w:val="17"/>
        <w:rPr>
          <w:rFonts w:hint="eastAsia" w:ascii="仿宋_GB2312" w:eastAsia="仿宋_GB2312"/>
          <w:b/>
          <w:bCs/>
          <w:kern w:val="2"/>
          <w:sz w:val="28"/>
          <w:szCs w:val="28"/>
        </w:rPr>
      </w:pPr>
    </w:p>
    <w:p w14:paraId="19E640A9">
      <w:pPr>
        <w:pStyle w:val="17"/>
        <w:rPr>
          <w:rFonts w:hint="eastAsia" w:ascii="仿宋_GB2312" w:eastAsia="仿宋_GB2312"/>
          <w:b/>
          <w:bCs/>
          <w:kern w:val="2"/>
          <w:sz w:val="28"/>
          <w:szCs w:val="28"/>
        </w:rPr>
      </w:pPr>
    </w:p>
    <w:p w14:paraId="56BE43D8">
      <w:pPr>
        <w:pStyle w:val="17"/>
        <w:rPr>
          <w:rFonts w:hint="eastAsia" w:ascii="仿宋_GB2312" w:eastAsia="仿宋_GB2312"/>
          <w:b/>
          <w:bCs/>
          <w:kern w:val="2"/>
          <w:sz w:val="28"/>
          <w:szCs w:val="28"/>
        </w:rPr>
      </w:pPr>
    </w:p>
    <w:p w14:paraId="4DA5AAF0">
      <w:pPr>
        <w:pStyle w:val="17"/>
        <w:rPr>
          <w:rFonts w:hint="eastAsia" w:ascii="仿宋_GB2312" w:eastAsia="仿宋_GB2312"/>
          <w:b/>
          <w:bCs/>
          <w:kern w:val="2"/>
          <w:sz w:val="28"/>
          <w:szCs w:val="28"/>
        </w:rPr>
      </w:pPr>
    </w:p>
    <w:p w14:paraId="1C742322">
      <w:pPr>
        <w:pStyle w:val="17"/>
        <w:rPr>
          <w:rFonts w:hint="eastAsia" w:ascii="仿宋_GB2312" w:eastAsia="仿宋_GB2312"/>
          <w:b/>
          <w:bCs/>
          <w:kern w:val="2"/>
          <w:sz w:val="28"/>
          <w:szCs w:val="28"/>
        </w:rPr>
      </w:pPr>
    </w:p>
    <w:p w14:paraId="2E6CC2F0">
      <w:pPr>
        <w:pStyle w:val="17"/>
        <w:rPr>
          <w:rFonts w:hint="eastAsia" w:ascii="仿宋_GB2312" w:eastAsia="仿宋_GB2312"/>
          <w:b/>
          <w:bCs/>
          <w:kern w:val="2"/>
          <w:sz w:val="28"/>
          <w:szCs w:val="28"/>
        </w:rPr>
      </w:pPr>
    </w:p>
    <w:p w14:paraId="01808CE8">
      <w:pPr>
        <w:pStyle w:val="17"/>
        <w:rPr>
          <w:rFonts w:hint="eastAsia" w:ascii="仿宋_GB2312" w:eastAsia="仿宋_GB2312"/>
          <w:b/>
          <w:bCs/>
          <w:kern w:val="2"/>
          <w:sz w:val="28"/>
          <w:szCs w:val="28"/>
        </w:rPr>
      </w:pPr>
    </w:p>
    <w:p w14:paraId="54E32E27">
      <w:pPr>
        <w:pStyle w:val="17"/>
        <w:rPr>
          <w:rFonts w:hint="eastAsia" w:ascii="仿宋_GB2312" w:eastAsia="仿宋_GB2312"/>
          <w:b/>
          <w:bCs/>
          <w:kern w:val="2"/>
          <w:sz w:val="28"/>
          <w:szCs w:val="28"/>
        </w:rPr>
      </w:pPr>
    </w:p>
    <w:p w14:paraId="7D33E21B">
      <w:pPr>
        <w:pStyle w:val="17"/>
        <w:rPr>
          <w:rFonts w:hint="eastAsia" w:ascii="仿宋_GB2312" w:eastAsia="仿宋_GB2312"/>
          <w:b/>
          <w:bCs/>
          <w:kern w:val="2"/>
          <w:sz w:val="28"/>
          <w:szCs w:val="28"/>
        </w:rPr>
      </w:pPr>
    </w:p>
    <w:p w14:paraId="76E4BD4D">
      <w:pPr>
        <w:pStyle w:val="17"/>
        <w:rPr>
          <w:rFonts w:hint="eastAsia" w:ascii="仿宋_GB2312" w:eastAsia="仿宋_GB2312"/>
          <w:b/>
          <w:bCs/>
          <w:kern w:val="2"/>
          <w:sz w:val="28"/>
          <w:szCs w:val="28"/>
        </w:rPr>
      </w:pPr>
    </w:p>
    <w:p w14:paraId="05669D8F">
      <w:pPr>
        <w:pStyle w:val="17"/>
        <w:rPr>
          <w:rFonts w:hint="eastAsia" w:ascii="仿宋_GB2312" w:eastAsia="仿宋_GB2312"/>
          <w:b/>
          <w:bCs/>
          <w:kern w:val="2"/>
          <w:sz w:val="28"/>
          <w:szCs w:val="28"/>
        </w:rPr>
      </w:pPr>
    </w:p>
    <w:p w14:paraId="24D20FE7">
      <w:pPr>
        <w:pStyle w:val="17"/>
        <w:rPr>
          <w:rFonts w:hint="eastAsia" w:ascii="仿宋_GB2312" w:eastAsia="仿宋_GB2312"/>
          <w:b/>
          <w:bCs/>
          <w:kern w:val="2"/>
          <w:sz w:val="28"/>
          <w:szCs w:val="28"/>
        </w:rPr>
      </w:pPr>
    </w:p>
    <w:p w14:paraId="4417C0BF">
      <w:pPr>
        <w:pStyle w:val="17"/>
        <w:rPr>
          <w:rFonts w:hint="eastAsia" w:ascii="仿宋_GB2312" w:eastAsia="仿宋_GB2312"/>
          <w:b/>
          <w:bCs/>
          <w:kern w:val="2"/>
          <w:sz w:val="28"/>
          <w:szCs w:val="28"/>
        </w:rPr>
      </w:pPr>
    </w:p>
    <w:p w14:paraId="50E6A97C">
      <w:pPr>
        <w:autoSpaceDE/>
        <w:autoSpaceDN/>
        <w:adjustRightInd/>
        <w:spacing w:line="360" w:lineRule="auto"/>
        <w:jc w:val="center"/>
        <w:outlineLvl w:val="0"/>
        <w:rPr>
          <w:rFonts w:ascii="仿宋_GB2312" w:eastAsia="仿宋_GB2312"/>
          <w:b/>
          <w:bCs/>
          <w:kern w:val="2"/>
          <w:sz w:val="28"/>
          <w:szCs w:val="28"/>
        </w:rPr>
      </w:pPr>
      <w:r>
        <w:rPr>
          <w:rFonts w:hint="eastAsia" w:ascii="仿宋_GB2312" w:eastAsia="仿宋_GB2312"/>
          <w:b/>
          <w:bCs/>
          <w:kern w:val="2"/>
          <w:sz w:val="28"/>
          <w:szCs w:val="28"/>
        </w:rPr>
        <w:t>价 格 扣 除</w:t>
      </w:r>
      <w:bookmarkEnd w:id="22"/>
    </w:p>
    <w:p w14:paraId="389947FF">
      <w:pPr>
        <w:numPr>
          <w:ilvl w:val="0"/>
          <w:numId w:val="11"/>
        </w:numPr>
        <w:tabs>
          <w:tab w:val="clear" w:pos="425"/>
        </w:tabs>
        <w:autoSpaceDE/>
        <w:autoSpaceDN/>
        <w:adjustRightInd/>
        <w:spacing w:line="360" w:lineRule="auto"/>
        <w:jc w:val="both"/>
        <w:rPr>
          <w:rFonts w:ascii="宋体" w:hAnsi="宋体"/>
          <w:bCs/>
        </w:rPr>
      </w:pPr>
      <w:r>
        <w:rPr>
          <w:rFonts w:hint="eastAsia" w:ascii="宋体" w:hAnsi="宋体"/>
          <w:bCs/>
        </w:rPr>
        <w:t>价格核准：</w:t>
      </w:r>
    </w:p>
    <w:p w14:paraId="1E69CDA6">
      <w:pPr>
        <w:numPr>
          <w:ilvl w:val="1"/>
          <w:numId w:val="11"/>
        </w:numPr>
        <w:tabs>
          <w:tab w:val="clear" w:pos="567"/>
        </w:tabs>
        <w:autoSpaceDE/>
        <w:autoSpaceDN/>
        <w:adjustRightInd/>
        <w:spacing w:line="360" w:lineRule="auto"/>
        <w:jc w:val="both"/>
        <w:rPr>
          <w:rFonts w:ascii="宋体" w:hAnsi="宋体"/>
        </w:rPr>
      </w:pPr>
      <w:r>
        <w:rPr>
          <w:rFonts w:hint="eastAsia" w:ascii="宋体" w:hAnsi="宋体"/>
          <w:bCs/>
        </w:rPr>
        <w:t>磋商小组详细分析、核准价格表，检查其是否存在计算上或累加上的算术错误，修正错误的原则详见第七章第26.10条相关条款。</w:t>
      </w:r>
    </w:p>
    <w:p w14:paraId="4B5026D5">
      <w:pPr>
        <w:numPr>
          <w:ilvl w:val="0"/>
          <w:numId w:val="11"/>
        </w:numPr>
        <w:tabs>
          <w:tab w:val="clear" w:pos="425"/>
        </w:tabs>
        <w:autoSpaceDE/>
        <w:autoSpaceDN/>
        <w:adjustRightInd/>
        <w:spacing w:line="360" w:lineRule="auto"/>
        <w:jc w:val="both"/>
        <w:rPr>
          <w:rFonts w:ascii="宋体" w:hAnsi="宋体"/>
        </w:rPr>
      </w:pPr>
      <w:r>
        <w:rPr>
          <w:rFonts w:hint="eastAsia" w:ascii="宋体" w:hAnsi="宋体"/>
        </w:rPr>
        <w:t>小型和微型企业产品价格扣除</w:t>
      </w:r>
    </w:p>
    <w:p w14:paraId="75D4B82A">
      <w:pPr>
        <w:numPr>
          <w:ilvl w:val="1"/>
          <w:numId w:val="11"/>
        </w:numPr>
        <w:tabs>
          <w:tab w:val="clear" w:pos="567"/>
        </w:tabs>
        <w:autoSpaceDE/>
        <w:autoSpaceDN/>
        <w:adjustRightInd/>
        <w:spacing w:line="360" w:lineRule="auto"/>
        <w:jc w:val="both"/>
        <w:rPr>
          <w:rFonts w:ascii="宋体" w:hAnsi="宋体"/>
          <w:bCs/>
        </w:rPr>
      </w:pPr>
      <w:r>
        <w:rPr>
          <w:rFonts w:hint="eastAsia" w:ascii="宋体" w:hAnsi="宋体"/>
          <w:bCs/>
        </w:rPr>
        <w:t>根据财政部、工业和信息化部印发的</w:t>
      </w:r>
      <w:r>
        <w:rPr>
          <w:rFonts w:hint="eastAsia" w:ascii="宋体" w:hAnsi="宋体"/>
          <w:bCs/>
          <w:lang w:eastAsia="zh-CN"/>
        </w:rPr>
        <w:t>《政府采购促进中小企业发展管理办法》的通知（财库[2020]46号）</w:t>
      </w:r>
      <w:r>
        <w:rPr>
          <w:rFonts w:hint="eastAsia" w:ascii="宋体" w:hAnsi="宋体"/>
          <w:bCs/>
        </w:rPr>
        <w:t>的规定，对小型和微型企业产品的价格给予</w:t>
      </w:r>
      <w:r>
        <w:rPr>
          <w:rFonts w:hint="eastAsia" w:ascii="宋体" w:hAnsi="宋体"/>
          <w:bCs/>
          <w:lang w:val="en-US" w:eastAsia="zh-CN"/>
        </w:rPr>
        <w:t>10</w:t>
      </w:r>
      <w:r>
        <w:rPr>
          <w:rFonts w:hint="eastAsia" w:ascii="宋体" w:hAnsi="宋体"/>
          <w:bCs/>
        </w:rPr>
        <w:t>%的扣除，用扣除后的价格参与评审；投标产品中仅有部分小型和微型企业产品的，则此部分按所投小型和微型企业产品的价格予以扣除。</w:t>
      </w:r>
    </w:p>
    <w:p w14:paraId="3239860C">
      <w:pPr>
        <w:numPr>
          <w:ilvl w:val="1"/>
          <w:numId w:val="11"/>
        </w:numPr>
        <w:tabs>
          <w:tab w:val="clear" w:pos="567"/>
        </w:tabs>
        <w:autoSpaceDE/>
        <w:autoSpaceDN/>
        <w:adjustRightInd/>
        <w:spacing w:line="360" w:lineRule="auto"/>
        <w:jc w:val="both"/>
        <w:rPr>
          <w:rFonts w:ascii="宋体" w:hAnsi="宋体"/>
          <w:bCs/>
        </w:rPr>
      </w:pPr>
      <w:r>
        <w:rPr>
          <w:rFonts w:hint="eastAsia" w:ascii="宋体" w:hAnsi="宋体"/>
          <w:bCs/>
        </w:rPr>
        <w:t>《政府采购促进中小企业发展暂行办法》所称中小企业（含中型、小型、微型企业，下同）应当同时符合以下条件：</w:t>
      </w:r>
    </w:p>
    <w:p w14:paraId="09BFC1D0">
      <w:pPr>
        <w:numPr>
          <w:ilvl w:val="2"/>
          <w:numId w:val="11"/>
        </w:numPr>
        <w:tabs>
          <w:tab w:val="clear" w:pos="709"/>
        </w:tabs>
        <w:autoSpaceDE/>
        <w:autoSpaceDN/>
        <w:adjustRightInd/>
        <w:spacing w:line="360" w:lineRule="auto"/>
        <w:jc w:val="both"/>
        <w:rPr>
          <w:rFonts w:ascii="宋体" w:hAnsi="宋体"/>
          <w:bCs/>
        </w:rPr>
      </w:pPr>
      <w:r>
        <w:rPr>
          <w:rFonts w:hint="eastAsia" w:ascii="宋体" w:hAnsi="宋体"/>
          <w:bCs/>
        </w:rPr>
        <w:t xml:space="preserve">符合中小企业划分标准； </w:t>
      </w:r>
    </w:p>
    <w:p w14:paraId="742547D1">
      <w:pPr>
        <w:numPr>
          <w:ilvl w:val="2"/>
          <w:numId w:val="11"/>
        </w:numPr>
        <w:tabs>
          <w:tab w:val="clear" w:pos="709"/>
        </w:tabs>
        <w:autoSpaceDE/>
        <w:autoSpaceDN/>
        <w:adjustRightInd/>
        <w:spacing w:line="360" w:lineRule="auto"/>
        <w:jc w:val="both"/>
        <w:rPr>
          <w:rFonts w:ascii="宋体" w:hAnsi="宋体"/>
          <w:bCs/>
        </w:rPr>
      </w:pPr>
      <w:r>
        <w:rPr>
          <w:rFonts w:hint="eastAsia" w:ascii="宋体" w:hAnsi="宋体"/>
          <w:bCs/>
        </w:rPr>
        <w:t>提供本企业制造的货物、承担的工程或者服务，或者提供其他中小企业制造的货物。本项所称货物不包括使用大型企业注册商标的货物。</w:t>
      </w:r>
    </w:p>
    <w:p w14:paraId="51B6B7E3">
      <w:pPr>
        <w:spacing w:line="360" w:lineRule="auto"/>
        <w:ind w:left="735" w:leftChars="350" w:firstLine="420" w:firstLineChars="200"/>
        <w:rPr>
          <w:rFonts w:ascii="宋体" w:hAnsi="宋体"/>
          <w:bCs/>
        </w:rPr>
      </w:pPr>
      <w:r>
        <w:rPr>
          <w:rFonts w:hint="eastAsia" w:ascii="宋体" w:hAnsi="宋体"/>
          <w:bCs/>
        </w:rPr>
        <w:t>中小企业划分标准以《工业和信息化部、国家统计局、国家发展和改革委员会、财政部关于印发中小企业划型标准规定的通知》（工信部联企业[2011]300号）规定的划分标准为准。</w:t>
      </w:r>
    </w:p>
    <w:p w14:paraId="19ADFE7E">
      <w:pPr>
        <w:spacing w:line="360" w:lineRule="auto"/>
        <w:ind w:left="315" w:leftChars="150" w:firstLine="420" w:firstLineChars="200"/>
        <w:rPr>
          <w:rFonts w:ascii="宋体" w:hAnsi="宋体"/>
          <w:bCs/>
        </w:rPr>
      </w:pPr>
      <w:r>
        <w:rPr>
          <w:rFonts w:hint="eastAsia" w:ascii="宋体" w:hAnsi="宋体"/>
          <w:bCs/>
        </w:rPr>
        <w:t>小型、微型企业提供中型企业制造的货物的，视同为中型企业。</w:t>
      </w:r>
    </w:p>
    <w:p w14:paraId="04E7FA67">
      <w:pPr>
        <w:numPr>
          <w:ilvl w:val="1"/>
          <w:numId w:val="11"/>
        </w:numPr>
        <w:tabs>
          <w:tab w:val="clear" w:pos="567"/>
        </w:tabs>
        <w:autoSpaceDE/>
        <w:autoSpaceDN/>
        <w:adjustRightInd/>
        <w:spacing w:line="360" w:lineRule="auto"/>
        <w:jc w:val="both"/>
        <w:rPr>
          <w:rFonts w:ascii="宋体" w:hAnsi="宋体"/>
          <w:bCs/>
        </w:rPr>
      </w:pPr>
      <w:r>
        <w:rPr>
          <w:rFonts w:hint="eastAsia" w:ascii="宋体" w:hAnsi="宋体"/>
          <w:bCs/>
        </w:rPr>
        <w:t>参加政府采购活动的中小企业应当提供《中小企业声明函》（格式见第六章响应文件格式），</w:t>
      </w:r>
      <w:r>
        <w:rPr>
          <w:rFonts w:hint="eastAsia" w:ascii="宋体" w:hAnsi="宋体"/>
        </w:rPr>
        <w:t>如响应供应商为非制造商，其代理产品的制造商也应同时提交</w:t>
      </w:r>
      <w:r>
        <w:rPr>
          <w:rFonts w:hint="eastAsia" w:ascii="宋体" w:hAnsi="宋体"/>
          <w:bCs/>
        </w:rPr>
        <w:t>《中小企业声明函》，</w:t>
      </w:r>
      <w:r>
        <w:rPr>
          <w:rFonts w:hint="eastAsia" w:ascii="宋体" w:hAnsi="宋体"/>
        </w:rPr>
        <w:t>否则评审时不能享受相应的价格扣除。</w:t>
      </w:r>
    </w:p>
    <w:p w14:paraId="12B660FA">
      <w:pPr>
        <w:numPr>
          <w:ilvl w:val="1"/>
          <w:numId w:val="11"/>
        </w:numPr>
        <w:autoSpaceDE/>
        <w:autoSpaceDN/>
        <w:adjustRightInd/>
        <w:spacing w:line="360" w:lineRule="auto"/>
        <w:jc w:val="both"/>
      </w:pPr>
      <w:r>
        <w:rPr>
          <w:rFonts w:hint="eastAsia"/>
        </w:rPr>
        <w:t>监狱企业产品价格扣除</w:t>
      </w:r>
    </w:p>
    <w:p w14:paraId="706F89DA">
      <w:pPr>
        <w:numPr>
          <w:ilvl w:val="2"/>
          <w:numId w:val="11"/>
        </w:numPr>
        <w:autoSpaceDE/>
        <w:autoSpaceDN/>
        <w:adjustRightInd/>
        <w:spacing w:line="360" w:lineRule="auto"/>
        <w:jc w:val="both"/>
      </w:pPr>
      <w:r>
        <w:rPr>
          <w:rFonts w:hint="eastAsia"/>
        </w:rPr>
        <w:t>监狱企业视同小型、微型企业，按上述2.1、2.2条款享受评审中价格扣除。</w:t>
      </w:r>
    </w:p>
    <w:p w14:paraId="64D2D71A">
      <w:pPr>
        <w:numPr>
          <w:ilvl w:val="2"/>
          <w:numId w:val="11"/>
        </w:numPr>
        <w:autoSpaceDE/>
        <w:autoSpaceDN/>
        <w:adjustRightInd/>
        <w:spacing w:line="360" w:lineRule="auto"/>
        <w:jc w:val="both"/>
      </w:pPr>
      <w:r>
        <w:rPr>
          <w:rFonts w:hint="eastAsia"/>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61B98B80">
      <w:pPr>
        <w:numPr>
          <w:ilvl w:val="2"/>
          <w:numId w:val="11"/>
        </w:numPr>
        <w:autoSpaceDE/>
        <w:autoSpaceDN/>
        <w:adjustRightInd/>
        <w:spacing w:line="360" w:lineRule="auto"/>
        <w:jc w:val="both"/>
      </w:pPr>
      <w:r>
        <w:rPr>
          <w:rFonts w:hint="eastAsia"/>
        </w:rPr>
        <w:t>监狱企业参加政府采购活动时，应当提供由</w:t>
      </w:r>
      <w:r>
        <w:rPr>
          <w:rFonts w:hint="eastAsia"/>
          <w:u w:val="single"/>
        </w:rPr>
        <w:t>省级以上监狱管理局、戒毒管理局（含新疆生产建设兵团）出具的属于监狱企业的证明文件</w:t>
      </w:r>
      <w:r>
        <w:rPr>
          <w:rFonts w:hint="eastAsia"/>
        </w:rPr>
        <w:t>，</w:t>
      </w:r>
      <w:r>
        <w:rPr>
          <w:rFonts w:hint="eastAsia" w:ascii="宋体" w:hAnsi="宋体" w:cs="宋体"/>
        </w:rPr>
        <w:t>否则不予认可</w:t>
      </w:r>
      <w:r>
        <w:rPr>
          <w:rFonts w:hint="eastAsia"/>
        </w:rPr>
        <w:t>。</w:t>
      </w:r>
    </w:p>
    <w:p w14:paraId="4F6E34A1">
      <w:pPr>
        <w:numPr>
          <w:ilvl w:val="1"/>
          <w:numId w:val="11"/>
        </w:numPr>
        <w:autoSpaceDE/>
        <w:autoSpaceDN/>
        <w:adjustRightInd/>
        <w:spacing w:line="360" w:lineRule="auto"/>
        <w:jc w:val="both"/>
      </w:pPr>
      <w:r>
        <w:rPr>
          <w:rFonts w:hint="eastAsia"/>
        </w:rPr>
        <w:t>残疾人福利性单位产品价格扣除</w:t>
      </w:r>
    </w:p>
    <w:p w14:paraId="725C7301">
      <w:pPr>
        <w:numPr>
          <w:ilvl w:val="2"/>
          <w:numId w:val="11"/>
        </w:numPr>
        <w:autoSpaceDE/>
        <w:autoSpaceDN/>
        <w:adjustRightInd/>
        <w:spacing w:line="360" w:lineRule="auto"/>
        <w:jc w:val="both"/>
      </w:pPr>
      <w:r>
        <w:rPr>
          <w:rFonts w:hint="eastAsia"/>
        </w:rPr>
        <w:t>残疾人福利性单位视同小型、微型企业，按上述2.1、2.2条款享受评审中价格扣除。</w:t>
      </w:r>
    </w:p>
    <w:p w14:paraId="04FF488D">
      <w:pPr>
        <w:numPr>
          <w:ilvl w:val="2"/>
          <w:numId w:val="11"/>
        </w:numPr>
        <w:autoSpaceDE/>
        <w:autoSpaceDN/>
        <w:adjustRightInd/>
        <w:spacing w:line="360" w:lineRule="auto"/>
        <w:jc w:val="both"/>
      </w:pPr>
      <w:r>
        <w:rPr>
          <w:rFonts w:hint="eastAsia" w:ascii="宋体" w:hAnsi="宋体"/>
          <w:bCs/>
        </w:rPr>
        <w:t>根据财政部、民政部、中国残疾人联合会印发的《关于促进残疾人就业政府采购政策的通知》（财库〔2017〕141号）的规定，符合条件的残疾人福利性单位在参加政府采购活动时，应当提供该通知规定的《残疾人福利性单位声明函》（格式见第六章响应文件格式），并对</w:t>
      </w:r>
      <w:r>
        <w:rPr>
          <w:rFonts w:hint="eastAsia"/>
        </w:rPr>
        <w:t>声明的真实性负责。一旦成交将在成交公告中公告其声明函，接受社会监督。响应供应商提供的《残疾人福利性单位声明函》与事实不符的，依照《</w:t>
      </w:r>
      <w:r>
        <w:rPr>
          <w:rFonts w:hint="eastAsia"/>
          <w:bCs/>
        </w:rPr>
        <w:t>中华人民共和国</w:t>
      </w:r>
      <w:r>
        <w:rPr>
          <w:rFonts w:hint="eastAsia"/>
        </w:rPr>
        <w:t>政府采购法》第七十七条第一款的规定追究法律责任。</w:t>
      </w:r>
    </w:p>
    <w:p w14:paraId="2C932EE5">
      <w:pPr>
        <w:numPr>
          <w:ilvl w:val="1"/>
          <w:numId w:val="11"/>
        </w:numPr>
        <w:autoSpaceDE/>
        <w:autoSpaceDN/>
        <w:adjustRightInd/>
        <w:spacing w:line="360" w:lineRule="auto"/>
        <w:jc w:val="both"/>
      </w:pPr>
      <w:r>
        <w:rPr>
          <w:rFonts w:hint="eastAsia"/>
        </w:rPr>
        <w:t>节能产品价格扣除</w:t>
      </w:r>
    </w:p>
    <w:p w14:paraId="6E2B69B2">
      <w:pPr>
        <w:numPr>
          <w:ilvl w:val="2"/>
          <w:numId w:val="11"/>
        </w:numPr>
        <w:autoSpaceDE/>
        <w:autoSpaceDN/>
        <w:adjustRightInd/>
        <w:spacing w:line="360" w:lineRule="auto"/>
        <w:jc w:val="both"/>
      </w:pPr>
      <w:r>
        <w:rPr>
          <w:rFonts w:hint="eastAsia" w:ascii="宋体" w:hAnsi="宋体"/>
          <w:bCs/>
        </w:rPr>
        <w:t>节</w:t>
      </w:r>
      <w:r>
        <w:rPr>
          <w:rFonts w:hint="eastAsia"/>
        </w:rPr>
        <w:t>能产品须直接打印国家财政部、发展改革委发布的“节能产品政府采购清单”（最新一期）中该产品所在页，并加盖报价供应商公章及标注报价产品在该页的位置。清单见“中国政府采购网（</w:t>
      </w:r>
      <w:r>
        <w:fldChar w:fldCharType="begin"/>
      </w:r>
      <w:r>
        <w:instrText xml:space="preserve"> HYPERLINK "http://www.ccgp.gov.cn/" </w:instrText>
      </w:r>
      <w:r>
        <w:fldChar w:fldCharType="separate"/>
      </w:r>
      <w:r>
        <w:rPr>
          <w:rFonts w:hint="eastAsia"/>
        </w:rPr>
        <w:t>http://www.ccgp.gov.cn/</w:t>
      </w:r>
      <w:r>
        <w:rPr>
          <w:rFonts w:hint="eastAsia"/>
        </w:rPr>
        <w:fldChar w:fldCharType="end"/>
      </w:r>
      <w:r>
        <w:rPr>
          <w:rFonts w:hint="eastAsia"/>
        </w:rPr>
        <w:t>）、国家发展改革委网站（</w:t>
      </w:r>
      <w:r>
        <w:fldChar w:fldCharType="begin"/>
      </w:r>
      <w:r>
        <w:instrText xml:space="preserve"> HYPERLINK "http://hzs.ndrc.gov.cn/" </w:instrText>
      </w:r>
      <w:r>
        <w:fldChar w:fldCharType="separate"/>
      </w:r>
      <w:r>
        <w:rPr>
          <w:rFonts w:hint="eastAsia"/>
        </w:rPr>
        <w:t>http://hzs.ndrc.gov.cn/</w:t>
      </w:r>
      <w:r>
        <w:rPr>
          <w:rFonts w:hint="eastAsia"/>
        </w:rPr>
        <w:fldChar w:fldCharType="end"/>
      </w:r>
      <w:r>
        <w:rPr>
          <w:rFonts w:hint="eastAsia"/>
        </w:rPr>
        <w:t>）和中国质量认证中心网站（</w:t>
      </w:r>
      <w:r>
        <w:fldChar w:fldCharType="begin"/>
      </w:r>
      <w:r>
        <w:instrText xml:space="preserve"> HYPERLINK "http://www.cqc.com.cn/" </w:instrText>
      </w:r>
      <w:r>
        <w:fldChar w:fldCharType="separate"/>
      </w:r>
      <w:r>
        <w:rPr>
          <w:rFonts w:hint="eastAsia"/>
        </w:rPr>
        <w:t>http://www.cqc.com.cn/</w:t>
      </w:r>
      <w:r>
        <w:rPr>
          <w:rFonts w:hint="eastAsia"/>
        </w:rPr>
        <w:fldChar w:fldCharType="end"/>
      </w:r>
      <w:r>
        <w:rPr>
          <w:rFonts w:hint="eastAsia"/>
        </w:rPr>
        <w:t>）”。</w:t>
      </w:r>
    </w:p>
    <w:p w14:paraId="4D027B90">
      <w:pPr>
        <w:numPr>
          <w:ilvl w:val="2"/>
          <w:numId w:val="11"/>
        </w:numPr>
        <w:autoSpaceDE/>
        <w:autoSpaceDN/>
        <w:adjustRightInd/>
        <w:spacing w:line="360" w:lineRule="auto"/>
        <w:jc w:val="both"/>
      </w:pPr>
      <w:r>
        <w:rPr>
          <w:rFonts w:hint="eastAsia"/>
        </w:rPr>
        <w:t>为完善政府绿色采购政策，简化节能（节水）产品、环境标志产品政府采购执行机制，根据《财政部 发展改革委 生态环境部 市场监管总局关于调整优化节能产品、环境标志产品政府采购执行机制的通知》（财库〔2019〕9号）和《关于印发节能产品政府采购品目清单的通知》（财库〔2019〕19号）的要求，本项目采购产品中涉及台式计算机，便携式计算机，平板式微型计算机，激光打印机，针式打印机，液晶显示器，制冷压缩机，空调机组，专用制冷、空调设备，镇流器，空调机，电热水器，普通照明用双端荧光灯，电视设备，视频设备，便器，水嘴等，供应商（投标人）须提供国家确定的认证机构出具的、处于有效期之内的节能产品认证证书的复印件并加盖投标供应商公章。</w:t>
      </w:r>
    </w:p>
    <w:p w14:paraId="2C0B716F">
      <w:pPr>
        <w:numPr>
          <w:ilvl w:val="2"/>
          <w:numId w:val="11"/>
        </w:numPr>
        <w:autoSpaceDE/>
        <w:autoSpaceDN/>
        <w:adjustRightInd/>
        <w:spacing w:line="360" w:lineRule="auto"/>
        <w:jc w:val="both"/>
      </w:pPr>
      <w:r>
        <w:rPr>
          <w:rFonts w:hint="eastAsia" w:ascii="Arial" w:hAnsi="Arial" w:cs="Arial"/>
        </w:rPr>
        <w:t>对属于节能（政府强制采购节能产品外）、环保标志的产品的价格给予4%的扣除，用扣除后的价格参与评审</w:t>
      </w:r>
    </w:p>
    <w:p w14:paraId="752E1EC2">
      <w:pPr>
        <w:numPr>
          <w:ilvl w:val="0"/>
          <w:numId w:val="11"/>
        </w:numPr>
        <w:autoSpaceDE/>
        <w:autoSpaceDN/>
        <w:adjustRightInd/>
        <w:spacing w:line="360" w:lineRule="auto"/>
        <w:jc w:val="both"/>
      </w:pPr>
      <w:r>
        <w:t>依照《政府采购促进中小企业发展管理办法》、《支持监狱企业发展有关问题的通知》和《财政部 民政部</w:t>
      </w:r>
      <w:r>
        <w:rPr>
          <w:rFonts w:hint="eastAsia"/>
          <w:lang w:val="en-US" w:eastAsia="zh-CN"/>
        </w:rPr>
        <w:t xml:space="preserve"> </w:t>
      </w:r>
      <w:r>
        <w:t>中国残疾人联合会关于促进残疾人就业政府采购政策的通知》的规定，凡符合享受《政府采购促进中小企业发展管理办法》规定的中小企业扶持政策的单位，按照</w:t>
      </w:r>
      <w:r>
        <w:rPr>
          <w:rFonts w:hint="eastAsia"/>
          <w:lang w:val="en-US" w:eastAsia="zh-CN"/>
        </w:rPr>
        <w:t>10%</w:t>
      </w:r>
      <w:r>
        <w:t>比例给予相应的价格扣除（监狱企业、残疾人福利性单位视同为小、微企业）。</w:t>
      </w:r>
    </w:p>
    <w:p w14:paraId="74F1D167">
      <w:pPr>
        <w:numPr>
          <w:ilvl w:val="0"/>
          <w:numId w:val="11"/>
        </w:numPr>
        <w:autoSpaceDE/>
        <w:autoSpaceDN/>
        <w:adjustRightInd/>
        <w:spacing w:line="360" w:lineRule="auto"/>
        <w:jc w:val="both"/>
        <w:sectPr>
          <w:pgSz w:w="11906" w:h="16838"/>
          <w:pgMar w:top="1440" w:right="1286" w:bottom="1440" w:left="1440" w:header="1191" w:footer="1417" w:gutter="0"/>
          <w:cols w:space="720" w:num="1"/>
          <w:docGrid w:type="lines" w:linePitch="312" w:charSpace="0"/>
        </w:sectPr>
      </w:pPr>
      <w:r>
        <w:rPr>
          <w:rFonts w:hint="eastAsia"/>
        </w:rPr>
        <w:t>响应供应商同时为小型、微型企业、监狱企业、残疾人福利性单位任两种或以上情况的，评审中只享受一次价格扣除，不重复进行价格扣除</w:t>
      </w:r>
      <w:r>
        <w:rPr>
          <w:rFonts w:hint="eastAsia"/>
          <w:lang w:eastAsia="zh-CN"/>
        </w:rPr>
        <w:t>。</w:t>
      </w:r>
    </w:p>
    <w:p w14:paraId="4055A7EF"/>
    <w:p w14:paraId="29408AC3">
      <w:pPr>
        <w:autoSpaceDE/>
        <w:autoSpaceDN/>
        <w:snapToGrid w:val="0"/>
        <w:spacing w:line="360" w:lineRule="auto"/>
        <w:jc w:val="center"/>
        <w:outlineLvl w:val="0"/>
        <w:rPr>
          <w:rFonts w:ascii="仿宋_GB2312" w:eastAsia="仿宋_GB2312"/>
          <w:b/>
          <w:bCs/>
          <w:sz w:val="28"/>
          <w:szCs w:val="28"/>
        </w:rPr>
      </w:pPr>
      <w:bookmarkStart w:id="23" w:name="_Toc27944"/>
      <w:r>
        <w:rPr>
          <w:rFonts w:hint="eastAsia" w:ascii="仿宋_GB2312" w:eastAsia="仿宋_GB2312"/>
          <w:b/>
          <w:bCs/>
          <w:sz w:val="28"/>
          <w:szCs w:val="28"/>
        </w:rPr>
        <w:t>第四章  用户需求书</w:t>
      </w:r>
      <w:bookmarkEnd w:id="12"/>
      <w:bookmarkEnd w:id="13"/>
      <w:bookmarkEnd w:id="14"/>
      <w:bookmarkEnd w:id="15"/>
      <w:bookmarkEnd w:id="16"/>
      <w:bookmarkEnd w:id="23"/>
    </w:p>
    <w:p w14:paraId="5BBB0F3B">
      <w:pPr>
        <w:snapToGrid w:val="0"/>
        <w:spacing w:line="360" w:lineRule="auto"/>
        <w:rPr>
          <w:rFonts w:ascii="宋体"/>
          <w:b/>
          <w:bCs/>
          <w:szCs w:val="20"/>
        </w:rPr>
      </w:pPr>
      <w:r>
        <w:rPr>
          <w:rFonts w:hint="eastAsia" w:ascii="宋体"/>
          <w:b/>
          <w:bCs/>
          <w:szCs w:val="20"/>
        </w:rPr>
        <w:t>说明</w:t>
      </w:r>
    </w:p>
    <w:p w14:paraId="647687BC">
      <w:pPr>
        <w:numPr>
          <w:ilvl w:val="0"/>
          <w:numId w:val="12"/>
        </w:numPr>
        <w:autoSpaceDE/>
        <w:autoSpaceDN/>
        <w:adjustRightInd/>
        <w:snapToGrid w:val="0"/>
        <w:spacing w:line="360" w:lineRule="auto"/>
        <w:ind w:left="422" w:hanging="422" w:hangingChars="200"/>
        <w:jc w:val="both"/>
        <w:rPr>
          <w:rFonts w:ascii="宋体"/>
          <w:b/>
          <w:bCs/>
          <w:szCs w:val="20"/>
        </w:rPr>
      </w:pPr>
      <w:r>
        <w:rPr>
          <w:rFonts w:hint="eastAsia" w:ascii="宋体"/>
          <w:b/>
          <w:bCs/>
          <w:szCs w:val="20"/>
        </w:rPr>
        <w:t>供应商须对同一采购项目为单位的货物及服务进行整体响应，任何只对其中一部分内容进行的响应都被视为无效投标。</w:t>
      </w:r>
    </w:p>
    <w:p w14:paraId="498B5165">
      <w:pPr>
        <w:numPr>
          <w:ilvl w:val="0"/>
          <w:numId w:val="12"/>
        </w:numPr>
        <w:autoSpaceDE/>
        <w:autoSpaceDN/>
        <w:adjustRightInd/>
        <w:snapToGrid w:val="0"/>
        <w:spacing w:line="360" w:lineRule="auto"/>
        <w:ind w:left="422" w:hanging="422" w:hangingChars="200"/>
        <w:jc w:val="both"/>
        <w:rPr>
          <w:rFonts w:ascii="宋体"/>
          <w:b/>
          <w:bCs/>
          <w:szCs w:val="20"/>
        </w:rPr>
      </w:pPr>
      <w:r>
        <w:rPr>
          <w:rFonts w:hint="eastAsia" w:ascii="宋体"/>
          <w:b/>
          <w:bCs/>
          <w:szCs w:val="20"/>
        </w:rPr>
        <w:t>用户需求书中打</w:t>
      </w:r>
      <w:r>
        <w:rPr>
          <w:rFonts w:ascii="宋体"/>
          <w:b/>
          <w:bCs/>
          <w:szCs w:val="20"/>
        </w:rPr>
        <w:t>“</w:t>
      </w:r>
      <w:r>
        <w:rPr>
          <w:rFonts w:hint="eastAsia" w:ascii="宋体"/>
          <w:b/>
          <w:bCs/>
          <w:szCs w:val="20"/>
        </w:rPr>
        <w:t>★</w:t>
      </w:r>
      <w:r>
        <w:rPr>
          <w:rFonts w:ascii="宋体"/>
          <w:b/>
          <w:bCs/>
          <w:szCs w:val="20"/>
        </w:rPr>
        <w:t>”</w:t>
      </w:r>
      <w:r>
        <w:rPr>
          <w:rFonts w:hint="eastAsia" w:ascii="宋体"/>
          <w:b/>
          <w:bCs/>
          <w:szCs w:val="20"/>
        </w:rPr>
        <w:t>号条款为实质性条款，供应商如有任何一条负偏离则导致投标无效。</w:t>
      </w:r>
    </w:p>
    <w:p w14:paraId="58AD81CA">
      <w:pPr>
        <w:numPr>
          <w:ilvl w:val="0"/>
          <w:numId w:val="12"/>
        </w:numPr>
        <w:autoSpaceDE/>
        <w:autoSpaceDN/>
        <w:adjustRightInd/>
        <w:snapToGrid w:val="0"/>
        <w:spacing w:line="360" w:lineRule="auto"/>
        <w:ind w:left="422" w:hanging="422" w:hangingChars="200"/>
        <w:jc w:val="both"/>
        <w:rPr>
          <w:rFonts w:ascii="宋体"/>
          <w:b/>
          <w:bCs/>
          <w:szCs w:val="20"/>
        </w:rPr>
      </w:pPr>
      <w:r>
        <w:rPr>
          <w:rFonts w:hint="eastAsia" w:ascii="宋体"/>
          <w:b/>
          <w:bCs/>
          <w:szCs w:val="20"/>
        </w:rPr>
        <w:t>用户需求书中打</w:t>
      </w:r>
      <w:r>
        <w:rPr>
          <w:rFonts w:ascii="宋体"/>
          <w:b/>
          <w:bCs/>
          <w:szCs w:val="20"/>
        </w:rPr>
        <w:t>“</w:t>
      </w:r>
      <w:r>
        <w:rPr>
          <w:rFonts w:hint="eastAsia" w:ascii="宋体"/>
          <w:b/>
          <w:bCs/>
          <w:szCs w:val="20"/>
        </w:rPr>
        <w:t>◆</w:t>
      </w:r>
      <w:r>
        <w:rPr>
          <w:rFonts w:ascii="宋体"/>
          <w:b/>
          <w:bCs/>
          <w:szCs w:val="20"/>
        </w:rPr>
        <w:t>”</w:t>
      </w:r>
      <w:r>
        <w:rPr>
          <w:rFonts w:hint="eastAsia" w:ascii="宋体"/>
          <w:b/>
          <w:bCs/>
          <w:szCs w:val="20"/>
        </w:rPr>
        <w:t>号的内容为采购的主要标的。</w:t>
      </w:r>
    </w:p>
    <w:p w14:paraId="760A0C50">
      <w:pPr>
        <w:numPr>
          <w:ilvl w:val="0"/>
          <w:numId w:val="0"/>
        </w:numPr>
        <w:spacing w:line="360" w:lineRule="auto"/>
        <w:rPr>
          <w:rFonts w:hint="eastAsia" w:ascii="宋体" w:hAnsi="宋体"/>
          <w:b/>
          <w:kern w:val="2"/>
          <w:lang w:eastAsia="zh-CN"/>
        </w:rPr>
      </w:pPr>
    </w:p>
    <w:p w14:paraId="41DB5904">
      <w:pPr>
        <w:numPr>
          <w:ilvl w:val="0"/>
          <w:numId w:val="0"/>
        </w:numPr>
        <w:spacing w:line="360" w:lineRule="auto"/>
        <w:rPr>
          <w:rFonts w:hint="eastAsia" w:ascii="宋体" w:hAnsi="宋体"/>
          <w:b/>
          <w:kern w:val="2"/>
        </w:rPr>
      </w:pPr>
      <w:r>
        <w:rPr>
          <w:rFonts w:hint="eastAsia" w:ascii="宋体" w:hAnsi="宋体"/>
          <w:b/>
          <w:kern w:val="2"/>
          <w:lang w:eastAsia="zh-CN"/>
        </w:rPr>
        <w:t>一、</w:t>
      </w:r>
      <w:r>
        <w:rPr>
          <w:rFonts w:hint="eastAsia" w:ascii="宋体" w:hAnsi="宋体"/>
          <w:b/>
          <w:kern w:val="2"/>
        </w:rPr>
        <w:t>采购项目内容及要求</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69"/>
        <w:gridCol w:w="1109"/>
        <w:gridCol w:w="2634"/>
        <w:gridCol w:w="2443"/>
      </w:tblGrid>
      <w:tr w14:paraId="02AA6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5" w:hRule="atLeast"/>
          <w:jc w:val="center"/>
        </w:trPr>
        <w:tc>
          <w:tcPr>
            <w:tcW w:w="0" w:type="auto"/>
            <w:shd w:val="clear" w:color="auto" w:fill="D7D7D7"/>
            <w:noWrap w:val="0"/>
            <w:vAlign w:val="center"/>
          </w:tcPr>
          <w:p w14:paraId="55C622D9">
            <w:pPr>
              <w:jc w:val="center"/>
              <w:rPr>
                <w:rFonts w:hint="eastAsia" w:ascii="宋体" w:cs="宋体"/>
                <w:b/>
                <w:bCs/>
                <w:color w:val="000000"/>
                <w:highlight w:val="none"/>
              </w:rPr>
            </w:pPr>
            <w:r>
              <w:rPr>
                <w:rFonts w:hint="eastAsia" w:ascii="宋体" w:cs="宋体"/>
                <w:b/>
                <w:bCs/>
                <w:color w:val="000000"/>
                <w:highlight w:val="none"/>
              </w:rPr>
              <w:t>采购内容</w:t>
            </w:r>
          </w:p>
        </w:tc>
        <w:tc>
          <w:tcPr>
            <w:tcW w:w="1109" w:type="dxa"/>
            <w:shd w:val="clear" w:color="auto" w:fill="D7D7D7"/>
            <w:noWrap w:val="0"/>
            <w:vAlign w:val="center"/>
          </w:tcPr>
          <w:p w14:paraId="61093469">
            <w:pPr>
              <w:jc w:val="center"/>
              <w:rPr>
                <w:rFonts w:hint="eastAsia" w:ascii="宋体" w:cs="宋体"/>
                <w:b/>
                <w:bCs/>
                <w:color w:val="000000"/>
                <w:highlight w:val="none"/>
              </w:rPr>
            </w:pPr>
            <w:r>
              <w:rPr>
                <w:rFonts w:hint="eastAsia" w:ascii="宋体" w:cs="宋体"/>
                <w:b/>
                <w:bCs/>
                <w:color w:val="000000"/>
                <w:highlight w:val="none"/>
              </w:rPr>
              <w:t>数量</w:t>
            </w:r>
          </w:p>
        </w:tc>
        <w:tc>
          <w:tcPr>
            <w:tcW w:w="2634" w:type="dxa"/>
            <w:shd w:val="clear" w:color="auto" w:fill="D7D7D7"/>
            <w:noWrap w:val="0"/>
            <w:vAlign w:val="center"/>
          </w:tcPr>
          <w:p w14:paraId="458808CB">
            <w:pPr>
              <w:jc w:val="center"/>
              <w:rPr>
                <w:rFonts w:hint="eastAsia" w:ascii="宋体"/>
                <w:b/>
                <w:sz w:val="21"/>
                <w:szCs w:val="21"/>
                <w:highlight w:val="none"/>
                <w:lang w:val="en-US" w:eastAsia="zh-CN" w:bidi="ar-SA"/>
              </w:rPr>
            </w:pPr>
            <w:r>
              <w:rPr>
                <w:rFonts w:hint="eastAsia" w:ascii="宋体"/>
                <w:b/>
                <w:highlight w:val="none"/>
              </w:rPr>
              <w:t>最高限价</w:t>
            </w:r>
          </w:p>
        </w:tc>
        <w:tc>
          <w:tcPr>
            <w:tcW w:w="2443" w:type="dxa"/>
            <w:shd w:val="clear" w:color="auto" w:fill="D7D7D7"/>
            <w:noWrap w:val="0"/>
            <w:vAlign w:val="center"/>
          </w:tcPr>
          <w:p w14:paraId="7D060A9D">
            <w:pPr>
              <w:jc w:val="center"/>
              <w:rPr>
                <w:rFonts w:ascii="宋体"/>
                <w:b/>
                <w:highlight w:val="none"/>
              </w:rPr>
            </w:pPr>
            <w:r>
              <w:rPr>
                <w:rFonts w:hint="eastAsia" w:ascii="宋体"/>
                <w:b/>
                <w:highlight w:val="none"/>
              </w:rPr>
              <w:t>完成期</w:t>
            </w:r>
          </w:p>
        </w:tc>
      </w:tr>
      <w:tr w14:paraId="15CE9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8" w:hRule="atLeast"/>
          <w:jc w:val="center"/>
        </w:trPr>
        <w:tc>
          <w:tcPr>
            <w:tcW w:w="0" w:type="auto"/>
            <w:noWrap w:val="0"/>
            <w:vAlign w:val="center"/>
          </w:tcPr>
          <w:p w14:paraId="3C3C7CEB">
            <w:pPr>
              <w:jc w:val="center"/>
              <w:rPr>
                <w:rFonts w:hint="eastAsia" w:ascii="宋体" w:eastAsia="宋体"/>
                <w:bCs/>
                <w:highlight w:val="none"/>
                <w:lang w:eastAsia="zh-CN"/>
              </w:rPr>
            </w:pPr>
            <w:r>
              <w:rPr>
                <w:rFonts w:hint="eastAsia" w:ascii="宋体"/>
                <w:b/>
                <w:bCs/>
                <w:szCs w:val="20"/>
                <w:highlight w:val="none"/>
              </w:rPr>
              <w:t>◆</w:t>
            </w:r>
            <w:r>
              <w:rPr>
                <w:rFonts w:hint="eastAsia" w:ascii="宋体"/>
                <w:b/>
                <w:bCs/>
                <w:szCs w:val="20"/>
                <w:highlight w:val="none"/>
                <w:lang w:val="en-US" w:eastAsia="zh-CN"/>
              </w:rPr>
              <w:t>南澳县博物馆消防维护修理及监控设备合并扩容项目</w:t>
            </w:r>
            <w:r>
              <w:rPr>
                <w:rFonts w:hint="eastAsia" w:ascii="宋体" w:hAnsi="宋体"/>
                <w:bCs/>
                <w:highlight w:val="none"/>
                <w:lang w:eastAsia="zh-CN"/>
              </w:rPr>
              <w:t xml:space="preserve"> </w:t>
            </w:r>
          </w:p>
        </w:tc>
        <w:tc>
          <w:tcPr>
            <w:tcW w:w="1109" w:type="dxa"/>
            <w:noWrap w:val="0"/>
            <w:vAlign w:val="center"/>
          </w:tcPr>
          <w:p w14:paraId="46246E7A">
            <w:pPr>
              <w:jc w:val="center"/>
              <w:rPr>
                <w:rFonts w:hint="default" w:ascii="宋体" w:eastAsia="宋体"/>
                <w:bCs/>
                <w:highlight w:val="none"/>
                <w:lang w:val="en-US" w:eastAsia="zh-CN"/>
              </w:rPr>
            </w:pPr>
            <w:r>
              <w:rPr>
                <w:rFonts w:hint="eastAsia" w:ascii="宋体"/>
                <w:bCs/>
                <w:highlight w:val="none"/>
                <w:lang w:val="en-US" w:eastAsia="zh-CN"/>
              </w:rPr>
              <w:t>1项</w:t>
            </w:r>
          </w:p>
        </w:tc>
        <w:tc>
          <w:tcPr>
            <w:tcW w:w="2634" w:type="dxa"/>
            <w:noWrap w:val="0"/>
            <w:vAlign w:val="center"/>
          </w:tcPr>
          <w:p w14:paraId="0E804331">
            <w:pPr>
              <w:pStyle w:val="22"/>
              <w:spacing w:line="240" w:lineRule="auto"/>
              <w:ind w:hanging="67" w:firstLineChars="0"/>
              <w:rPr>
                <w:rFonts w:hint="eastAsia" w:eastAsia="宋体"/>
                <w:snapToGrid/>
                <w:spacing w:val="0"/>
                <w:kern w:val="2"/>
                <w:sz w:val="21"/>
                <w:szCs w:val="21"/>
                <w:highlight w:val="none"/>
                <w:lang w:val="en-US" w:eastAsia="zh-CN" w:bidi="ar-SA"/>
              </w:rPr>
            </w:pPr>
            <w:r>
              <w:rPr>
                <w:rFonts w:hint="eastAsia" w:ascii="宋体" w:hAnsi="宋体"/>
                <w:snapToGrid/>
                <w:color w:val="auto"/>
                <w:spacing w:val="0"/>
                <w:kern w:val="2"/>
                <w:sz w:val="21"/>
                <w:highlight w:val="none"/>
              </w:rPr>
              <w:t>人民币</w:t>
            </w:r>
            <w:r>
              <w:rPr>
                <w:rFonts w:hint="eastAsia" w:ascii="宋体" w:hAnsi="宋体"/>
                <w:snapToGrid/>
                <w:color w:val="auto"/>
                <w:spacing w:val="0"/>
                <w:kern w:val="2"/>
                <w:sz w:val="21"/>
                <w:highlight w:val="none"/>
                <w:lang w:val="en-US" w:eastAsia="zh-CN"/>
              </w:rPr>
              <w:t>276,669.28</w:t>
            </w:r>
            <w:r>
              <w:rPr>
                <w:rFonts w:hint="eastAsia" w:ascii="宋体" w:hAnsi="宋体"/>
                <w:snapToGrid/>
                <w:color w:val="auto"/>
                <w:spacing w:val="0"/>
                <w:kern w:val="2"/>
                <w:sz w:val="21"/>
                <w:highlight w:val="none"/>
              </w:rPr>
              <w:t>元</w:t>
            </w:r>
            <w:r>
              <w:rPr>
                <w:rFonts w:hint="eastAsia" w:ascii="宋体" w:hAnsi="宋体"/>
                <w:snapToGrid/>
                <w:color w:val="auto"/>
                <w:spacing w:val="0"/>
                <w:kern w:val="2"/>
                <w:sz w:val="21"/>
                <w:highlight w:val="none"/>
                <w:lang w:eastAsia="zh-CN"/>
              </w:rPr>
              <w:t>（</w:t>
            </w:r>
            <w:r>
              <w:rPr>
                <w:rFonts w:hint="eastAsia" w:ascii="宋体" w:hAnsi="宋体"/>
                <w:snapToGrid/>
                <w:color w:val="auto"/>
                <w:spacing w:val="0"/>
                <w:kern w:val="2"/>
                <w:sz w:val="21"/>
                <w:highlight w:val="none"/>
                <w:lang w:val="en-US" w:eastAsia="zh-CN"/>
              </w:rPr>
              <w:t>其中绿色施工安全防护措施费：10,862.96元，暂估价113,180.00元</w:t>
            </w:r>
            <w:r>
              <w:rPr>
                <w:rFonts w:hint="eastAsia" w:ascii="宋体" w:hAnsi="宋体"/>
                <w:snapToGrid/>
                <w:color w:val="auto"/>
                <w:spacing w:val="0"/>
                <w:kern w:val="2"/>
                <w:sz w:val="21"/>
                <w:highlight w:val="none"/>
                <w:lang w:eastAsia="zh-CN"/>
              </w:rPr>
              <w:t>）</w:t>
            </w:r>
          </w:p>
        </w:tc>
        <w:tc>
          <w:tcPr>
            <w:tcW w:w="2443" w:type="dxa"/>
            <w:noWrap w:val="0"/>
            <w:vAlign w:val="center"/>
          </w:tcPr>
          <w:p w14:paraId="627BCF01">
            <w:pPr>
              <w:pStyle w:val="22"/>
              <w:spacing w:line="240" w:lineRule="auto"/>
              <w:ind w:hanging="67"/>
              <w:rPr>
                <w:rFonts w:hint="eastAsia" w:eastAsia="宋体"/>
                <w:snapToGrid/>
                <w:spacing w:val="0"/>
                <w:kern w:val="2"/>
                <w:sz w:val="21"/>
                <w:highlight w:val="none"/>
                <w:lang w:eastAsia="zh-CN"/>
              </w:rPr>
            </w:pPr>
            <w:r>
              <w:rPr>
                <w:rFonts w:hint="eastAsia" w:ascii="宋体" w:hAnsi="宋体"/>
                <w:snapToGrid/>
                <w:spacing w:val="0"/>
                <w:kern w:val="2"/>
                <w:sz w:val="21"/>
                <w:highlight w:val="none"/>
                <w:lang w:eastAsia="zh-CN"/>
              </w:rPr>
              <w:t>自合同签订之日起30个日历天内</w:t>
            </w:r>
          </w:p>
        </w:tc>
      </w:tr>
    </w:tbl>
    <w:p w14:paraId="68CD959F">
      <w:pPr>
        <w:pStyle w:val="17"/>
        <w:numPr>
          <w:ilvl w:val="0"/>
          <w:numId w:val="0"/>
        </w:numPr>
      </w:pPr>
    </w:p>
    <w:p w14:paraId="7D305C32">
      <w:pPr>
        <w:pStyle w:val="2"/>
        <w:numPr>
          <w:ilvl w:val="0"/>
          <w:numId w:val="13"/>
        </w:numPr>
        <w:snapToGrid w:val="0"/>
        <w:spacing w:line="360" w:lineRule="auto"/>
        <w:rPr>
          <w:rFonts w:hint="default" w:ascii="宋体" w:hAnsi="宋体" w:eastAsia="宋体"/>
          <w:color w:val="auto"/>
          <w:sz w:val="21"/>
          <w:szCs w:val="21"/>
          <w:highlight w:val="none"/>
        </w:rPr>
      </w:pPr>
      <w:r>
        <w:rPr>
          <w:rFonts w:ascii="宋体" w:hAnsi="宋体" w:eastAsia="宋体"/>
          <w:b/>
          <w:color w:val="auto"/>
          <w:kern w:val="2"/>
          <w:sz w:val="21"/>
          <w:szCs w:val="21"/>
          <w:highlight w:val="none"/>
        </w:rPr>
        <w:t>主要工作内容与要求及承包范围：详见</w:t>
      </w:r>
      <w:r>
        <w:rPr>
          <w:rFonts w:ascii="宋体" w:hAnsi="宋体" w:eastAsia="宋体"/>
          <w:b/>
          <w:color w:val="auto"/>
          <w:kern w:val="2"/>
          <w:sz w:val="21"/>
          <w:szCs w:val="21"/>
          <w:highlight w:val="none"/>
          <w:lang w:val="en-US" w:eastAsia="zh-CN"/>
        </w:rPr>
        <w:t>广东臻诚工程顾问有限公司</w:t>
      </w:r>
      <w:r>
        <w:rPr>
          <w:rFonts w:ascii="宋体" w:hAnsi="宋体" w:eastAsia="宋体"/>
          <w:b/>
          <w:color w:val="auto"/>
          <w:kern w:val="2"/>
          <w:sz w:val="21"/>
          <w:szCs w:val="21"/>
          <w:highlight w:val="none"/>
        </w:rPr>
        <w:t>编制的工程</w:t>
      </w:r>
      <w:r>
        <w:rPr>
          <w:rFonts w:hint="eastAsia" w:ascii="宋体" w:hAnsi="宋体" w:eastAsia="宋体"/>
          <w:b/>
          <w:color w:val="auto"/>
          <w:kern w:val="2"/>
          <w:sz w:val="21"/>
          <w:szCs w:val="21"/>
          <w:highlight w:val="none"/>
          <w:lang w:eastAsia="zh-CN"/>
        </w:rPr>
        <w:t>造价预算</w:t>
      </w:r>
      <w:r>
        <w:rPr>
          <w:rFonts w:ascii="宋体" w:hAnsi="宋体" w:eastAsia="宋体"/>
          <w:b/>
          <w:color w:val="auto"/>
          <w:kern w:val="2"/>
          <w:sz w:val="21"/>
          <w:szCs w:val="21"/>
          <w:highlight w:val="none"/>
        </w:rPr>
        <w:t>报告书和</w:t>
      </w:r>
      <w:r>
        <w:rPr>
          <w:rFonts w:hint="eastAsia" w:ascii="宋体" w:hAnsi="宋体" w:eastAsia="宋体"/>
          <w:b/>
          <w:color w:val="auto"/>
          <w:kern w:val="2"/>
          <w:sz w:val="21"/>
          <w:szCs w:val="21"/>
          <w:highlight w:val="none"/>
          <w:lang w:val="en-US" w:eastAsia="zh-CN"/>
        </w:rPr>
        <w:t>桃花堡控股集团有限公司</w:t>
      </w:r>
      <w:r>
        <w:rPr>
          <w:rFonts w:ascii="宋体" w:hAnsi="宋体" w:eastAsia="宋体"/>
          <w:b/>
          <w:color w:val="auto"/>
          <w:kern w:val="2"/>
          <w:sz w:val="21"/>
          <w:szCs w:val="21"/>
          <w:highlight w:val="none"/>
        </w:rPr>
        <w:t>提供的本项目相关施工设计图纸（另册），并按施工图纸施工。</w:t>
      </w:r>
    </w:p>
    <w:p w14:paraId="6DCBA330">
      <w:pPr>
        <w:pStyle w:val="2"/>
        <w:numPr>
          <w:ilvl w:val="0"/>
          <w:numId w:val="13"/>
        </w:numPr>
        <w:snapToGrid w:val="0"/>
        <w:spacing w:line="360" w:lineRule="auto"/>
        <w:rPr>
          <w:rFonts w:hint="default" w:ascii="宋体" w:hAnsi="宋体" w:eastAsia="宋体"/>
          <w:color w:val="auto"/>
          <w:sz w:val="21"/>
          <w:szCs w:val="21"/>
        </w:rPr>
      </w:pPr>
      <w:r>
        <w:rPr>
          <w:rFonts w:ascii="宋体" w:hAnsi="宋体" w:eastAsia="宋体"/>
          <w:b/>
          <w:color w:val="auto"/>
          <w:sz w:val="21"/>
          <w:szCs w:val="21"/>
          <w:highlight w:val="none"/>
        </w:rPr>
        <w:t>承揽项目方式</w:t>
      </w:r>
      <w:r>
        <w:rPr>
          <w:rFonts w:ascii="宋体" w:hAnsi="宋体" w:eastAsia="宋体"/>
          <w:color w:val="auto"/>
          <w:sz w:val="21"/>
          <w:szCs w:val="21"/>
          <w:highlight w:val="none"/>
        </w:rPr>
        <w:t>：本工程实行</w:t>
      </w:r>
      <w:r>
        <w:rPr>
          <w:rFonts w:hint="eastAsia" w:ascii="宋体" w:hAnsi="宋体" w:eastAsia="宋体"/>
          <w:color w:val="auto"/>
          <w:sz w:val="21"/>
          <w:szCs w:val="21"/>
          <w:highlight w:val="none"/>
        </w:rPr>
        <w:t>综合单价包干</w:t>
      </w:r>
      <w:r>
        <w:rPr>
          <w:rFonts w:ascii="宋体" w:hAnsi="宋体" w:eastAsia="宋体"/>
          <w:color w:val="auto"/>
          <w:sz w:val="21"/>
          <w:szCs w:val="21"/>
          <w:highlight w:val="none"/>
        </w:rPr>
        <w:t>，即按照招标图纸和工程量清单内容，要求包工、包料、包机</w:t>
      </w:r>
      <w:r>
        <w:rPr>
          <w:rFonts w:ascii="宋体" w:hAnsi="宋体" w:eastAsia="宋体"/>
          <w:color w:val="auto"/>
          <w:sz w:val="21"/>
          <w:szCs w:val="21"/>
        </w:rPr>
        <w:t>械、包工期、包质量、包安全生产、包文明施工、包劳保、包验收、包保修等的承包方式</w:t>
      </w:r>
      <w:r>
        <w:rPr>
          <w:rFonts w:hint="eastAsia" w:ascii="宋体" w:hAnsi="宋体" w:eastAsia="宋体"/>
          <w:color w:val="auto"/>
          <w:sz w:val="21"/>
          <w:szCs w:val="21"/>
          <w:lang w:eastAsia="zh-CN"/>
        </w:rPr>
        <w:t>，根据成交确定的综合单价，工程量按实结算，</w:t>
      </w:r>
      <w:r>
        <w:rPr>
          <w:rFonts w:ascii="宋体" w:hAnsi="宋体" w:eastAsia="宋体"/>
          <w:color w:val="auto"/>
          <w:sz w:val="21"/>
          <w:szCs w:val="21"/>
        </w:rPr>
        <w:t>包组织项目整体竣工验收（含资料汇总、整理、政府申报）等，并取得相关部门认可的验收合格证明文件。</w:t>
      </w:r>
    </w:p>
    <w:p w14:paraId="0D8B597B">
      <w:pPr>
        <w:pStyle w:val="2"/>
        <w:snapToGrid w:val="0"/>
        <w:spacing w:line="360" w:lineRule="auto"/>
        <w:rPr>
          <w:rFonts w:hint="default" w:ascii="宋体" w:hAnsi="宋体" w:eastAsia="宋体"/>
          <w:b/>
          <w:color w:val="auto"/>
          <w:kern w:val="2"/>
          <w:sz w:val="21"/>
          <w:szCs w:val="21"/>
        </w:rPr>
      </w:pPr>
      <w:bookmarkStart w:id="24" w:name="_Toc441052036"/>
      <w:r>
        <w:rPr>
          <w:rFonts w:ascii="宋体" w:hAnsi="宋体" w:eastAsia="宋体"/>
          <w:b/>
          <w:color w:val="auto"/>
          <w:kern w:val="2"/>
          <w:sz w:val="21"/>
          <w:szCs w:val="21"/>
        </w:rPr>
        <w:t>二</w:t>
      </w:r>
      <w:r>
        <w:rPr>
          <w:rFonts w:hint="eastAsia" w:ascii="宋体" w:hAnsi="宋体" w:eastAsia="宋体"/>
          <w:b/>
          <w:color w:val="auto"/>
          <w:kern w:val="2"/>
          <w:sz w:val="21"/>
          <w:szCs w:val="21"/>
          <w:lang w:eastAsia="zh-CN"/>
        </w:rPr>
        <w:t>、</w:t>
      </w:r>
      <w:r>
        <w:rPr>
          <w:rFonts w:ascii="宋体" w:hAnsi="宋体" w:eastAsia="宋体"/>
          <w:b/>
          <w:color w:val="auto"/>
          <w:kern w:val="2"/>
          <w:sz w:val="21"/>
          <w:szCs w:val="21"/>
        </w:rPr>
        <w:t>项目要求</w:t>
      </w:r>
      <w:bookmarkEnd w:id="24"/>
    </w:p>
    <w:p w14:paraId="58638DB8">
      <w:pPr>
        <w:numPr>
          <w:ilvl w:val="0"/>
          <w:numId w:val="14"/>
        </w:numPr>
        <w:tabs>
          <w:tab w:val="left" w:pos="426"/>
        </w:tabs>
        <w:autoSpaceDE/>
        <w:autoSpaceDN/>
        <w:snapToGrid w:val="0"/>
        <w:spacing w:line="360" w:lineRule="auto"/>
        <w:rPr>
          <w:rFonts w:ascii="宋体" w:hAnsi="宋体" w:cs="宋体"/>
        </w:rPr>
      </w:pPr>
      <w:bookmarkStart w:id="25" w:name="_Toc441052037"/>
      <w:r>
        <w:rPr>
          <w:rFonts w:hint="eastAsia" w:ascii="宋体" w:hAnsi="宋体" w:cs="宋体"/>
        </w:rPr>
        <w:t>成交供应商必须按响应文件提供管理人员名单委派现场管理人员，非采购人要求的，原则上不得更换。如需更换必须提交书面申请，经采购人同意后方能更换，否则当成交供应商违反合同规定处理。</w:t>
      </w:r>
      <w:bookmarkEnd w:id="25"/>
    </w:p>
    <w:p w14:paraId="70502D00">
      <w:pPr>
        <w:numPr>
          <w:ilvl w:val="0"/>
          <w:numId w:val="14"/>
        </w:numPr>
        <w:tabs>
          <w:tab w:val="left" w:pos="426"/>
        </w:tabs>
        <w:autoSpaceDE/>
        <w:autoSpaceDN/>
        <w:snapToGrid w:val="0"/>
        <w:spacing w:line="360" w:lineRule="auto"/>
        <w:rPr>
          <w:rFonts w:ascii="宋体" w:hAnsi="宋体" w:cs="宋体"/>
        </w:rPr>
      </w:pPr>
      <w:bookmarkStart w:id="26" w:name="_Toc441052038"/>
      <w:r>
        <w:rPr>
          <w:rFonts w:hint="eastAsia" w:ascii="宋体" w:hAnsi="宋体" w:cs="宋体"/>
        </w:rPr>
        <w:t>成交供应商不得在合同期内私下将本项目转包，一经发现，采购人有权取消成交供应商的承包资格并追究其相关法律责任。</w:t>
      </w:r>
      <w:bookmarkEnd w:id="26"/>
    </w:p>
    <w:p w14:paraId="0306D26F">
      <w:pPr>
        <w:numPr>
          <w:ilvl w:val="0"/>
          <w:numId w:val="14"/>
        </w:numPr>
        <w:tabs>
          <w:tab w:val="left" w:pos="426"/>
        </w:tabs>
        <w:autoSpaceDE/>
        <w:autoSpaceDN/>
        <w:snapToGrid w:val="0"/>
        <w:spacing w:line="360" w:lineRule="auto"/>
        <w:rPr>
          <w:rFonts w:ascii="宋体" w:hAnsi="宋体" w:cs="宋体"/>
        </w:rPr>
      </w:pPr>
      <w:bookmarkStart w:id="27" w:name="_Toc441052039"/>
      <w:r>
        <w:rPr>
          <w:rFonts w:hint="eastAsia" w:ascii="宋体" w:hAnsi="宋体" w:cs="宋体"/>
        </w:rPr>
        <w:t>成交供应商必须提交进场施工人员名单及身份证复印件给采购人备案，且必须在采购人所属有关部门办理出入证。</w:t>
      </w:r>
      <w:bookmarkEnd w:id="27"/>
    </w:p>
    <w:p w14:paraId="3BA8ACD9">
      <w:pPr>
        <w:numPr>
          <w:ilvl w:val="0"/>
          <w:numId w:val="14"/>
        </w:numPr>
        <w:tabs>
          <w:tab w:val="left" w:pos="426"/>
        </w:tabs>
        <w:autoSpaceDE/>
        <w:autoSpaceDN/>
        <w:snapToGrid w:val="0"/>
        <w:spacing w:line="360" w:lineRule="auto"/>
        <w:rPr>
          <w:rFonts w:ascii="宋体" w:hAnsi="宋体" w:cs="宋体"/>
        </w:rPr>
      </w:pPr>
      <w:bookmarkStart w:id="28" w:name="_Toc441052040"/>
      <w:r>
        <w:rPr>
          <w:rFonts w:hint="eastAsia" w:ascii="宋体" w:hAnsi="宋体" w:cs="宋体"/>
        </w:rPr>
        <w:t>施工人员必须严格遵守一切规章制度，自觉接受检查，无证人员一律不得进入施工现场，施工人员未经批准不得进入其他区域。</w:t>
      </w:r>
      <w:bookmarkEnd w:id="28"/>
    </w:p>
    <w:p w14:paraId="403E0790">
      <w:pPr>
        <w:numPr>
          <w:ilvl w:val="0"/>
          <w:numId w:val="14"/>
        </w:numPr>
        <w:tabs>
          <w:tab w:val="left" w:pos="426"/>
        </w:tabs>
        <w:autoSpaceDE/>
        <w:autoSpaceDN/>
        <w:snapToGrid w:val="0"/>
        <w:spacing w:line="360" w:lineRule="auto"/>
        <w:rPr>
          <w:rFonts w:ascii="宋体" w:hAnsi="宋体" w:cs="宋体"/>
        </w:rPr>
      </w:pPr>
      <w:bookmarkStart w:id="29" w:name="_Toc441052041"/>
      <w:r>
        <w:rPr>
          <w:rFonts w:hint="eastAsia" w:ascii="宋体" w:hAnsi="宋体" w:cs="宋体"/>
        </w:rPr>
        <w:t>成交供应商必须遵守建设单位施工现场和人员管理的规定，安全生产，文明施工。</w:t>
      </w:r>
      <w:bookmarkEnd w:id="29"/>
    </w:p>
    <w:p w14:paraId="641A1497">
      <w:pPr>
        <w:numPr>
          <w:ilvl w:val="0"/>
          <w:numId w:val="14"/>
        </w:numPr>
        <w:tabs>
          <w:tab w:val="left" w:pos="426"/>
        </w:tabs>
        <w:autoSpaceDE/>
        <w:autoSpaceDN/>
        <w:snapToGrid w:val="0"/>
        <w:spacing w:line="360" w:lineRule="auto"/>
        <w:rPr>
          <w:rFonts w:ascii="宋体" w:hAnsi="宋体" w:cs="宋体"/>
        </w:rPr>
      </w:pPr>
      <w:bookmarkStart w:id="30" w:name="_Toc441052042"/>
      <w:r>
        <w:rPr>
          <w:rFonts w:hint="eastAsia" w:ascii="宋体" w:hAnsi="宋体" w:cs="宋体"/>
        </w:rPr>
        <w:t>成交供应商在施工过程中，如遇到需与外部相关的单位协调的问题时，应自行解决，采购人只负责协助。</w:t>
      </w:r>
      <w:bookmarkEnd w:id="30"/>
    </w:p>
    <w:p w14:paraId="7301C316">
      <w:pPr>
        <w:numPr>
          <w:ilvl w:val="0"/>
          <w:numId w:val="14"/>
        </w:numPr>
        <w:tabs>
          <w:tab w:val="left" w:pos="426"/>
        </w:tabs>
        <w:autoSpaceDE/>
        <w:autoSpaceDN/>
        <w:snapToGrid w:val="0"/>
        <w:spacing w:line="360" w:lineRule="auto"/>
        <w:rPr>
          <w:rFonts w:ascii="宋体" w:hAnsi="宋体" w:cs="宋体"/>
        </w:rPr>
      </w:pPr>
      <w:bookmarkStart w:id="31" w:name="_Toc441052043"/>
      <w:r>
        <w:rPr>
          <w:rFonts w:hint="eastAsia" w:ascii="宋体" w:hAnsi="宋体" w:cs="宋体"/>
        </w:rPr>
        <w:t>成交供应商必须注意施工安全，做好安全文明施工工作，如因措施不当造成人身安全或工伤死亡事故，一切责任由成交供应商负责。</w:t>
      </w:r>
      <w:bookmarkEnd w:id="31"/>
    </w:p>
    <w:p w14:paraId="1D457FBD">
      <w:pPr>
        <w:numPr>
          <w:ilvl w:val="0"/>
          <w:numId w:val="14"/>
        </w:numPr>
        <w:tabs>
          <w:tab w:val="left" w:pos="426"/>
        </w:tabs>
        <w:autoSpaceDE/>
        <w:autoSpaceDN/>
        <w:snapToGrid w:val="0"/>
        <w:spacing w:line="360" w:lineRule="auto"/>
        <w:rPr>
          <w:rFonts w:ascii="宋体" w:hAnsi="宋体" w:cs="宋体"/>
        </w:rPr>
      </w:pPr>
      <w:r>
        <w:rPr>
          <w:rFonts w:ascii="宋体" w:hAnsi="宋体" w:cs="宋体"/>
        </w:rPr>
        <w:t>施工现场要求成交供应商实现“施工现场100%围蔽、工地路面100%硬化、工地砂土/物料100%覆盖、施工作业100%洒水、出工地车辆100%冲净车轮车身、长期裸土100%覆盖或绿化”，具体要求和做法参照《广州市建设工程扬尘防治“6个100%”管理标准图集（V1.0版）》标准执行。</w:t>
      </w:r>
    </w:p>
    <w:p w14:paraId="43141F61">
      <w:pPr>
        <w:pStyle w:val="25"/>
        <w:spacing w:line="360" w:lineRule="auto"/>
        <w:jc w:val="both"/>
        <w:rPr>
          <w:highlight w:val="none"/>
        </w:rPr>
      </w:pPr>
      <w:r>
        <w:rPr>
          <w:b/>
          <w:sz w:val="21"/>
          <w:highlight w:val="none"/>
        </w:rPr>
        <w:t>三、施工要求</w:t>
      </w:r>
    </w:p>
    <w:p w14:paraId="277F8A94">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1、具备适合本工程条件、满足质量和使用要求的技术、管理人员。</w:t>
      </w:r>
    </w:p>
    <w:p w14:paraId="075C778A">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2、本项目所采用的材料、设备必须满足国家有关技术操作规程的要求。</w:t>
      </w:r>
    </w:p>
    <w:p w14:paraId="210E0A7D">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施工组织方案需列明保证施工进度计划实施及保证质量、安全生产、文明施工、环境保护的措施；供应商应结合自身的实际情况制定合理的施工进度计划，成交后按施工合同的约定提交给采购人确认。成交供应商必须按采购人确认的施工进度计划组织施工，接受监理工程师对进度的检查、监督。</w:t>
      </w:r>
    </w:p>
    <w:p w14:paraId="4D57E2A9">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4、结合施工现场的实际情况进行施工组织设计（如须采用较复杂的施工技术的施工方案），施工中因施工方案及施工措施所引起的费用由成交供应商负责。</w:t>
      </w:r>
    </w:p>
    <w:p w14:paraId="4048B4A6">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5、施工要求和施工标准须按工程量清单要求。</w:t>
      </w:r>
    </w:p>
    <w:p w14:paraId="1251478D">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6、成交供应商必须认真组织工程人员进场保质保量注意安全，严格按有关安全施工操作规定施工。</w:t>
      </w:r>
    </w:p>
    <w:p w14:paraId="4FCAF6D0">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7、成交供应商在施工过程中须做足安全措施，成交供应商在施工过程造成的一切安全事故、或因施工造成采购人或第三人的人身财产损害及财产损害，均由成交供应商负责，一切事情与采购人无关。</w:t>
      </w:r>
    </w:p>
    <w:p w14:paraId="7DAD5AB7">
      <w:pPr>
        <w:pStyle w:val="25"/>
        <w:spacing w:line="360" w:lineRule="auto"/>
        <w:jc w:val="both"/>
      </w:pPr>
      <w:r>
        <w:rPr>
          <w:rFonts w:hint="eastAsia" w:ascii="宋体" w:hAnsi="宋体" w:eastAsia="宋体" w:cs="宋体"/>
          <w:sz w:val="21"/>
          <w:szCs w:val="21"/>
          <w:highlight w:val="none"/>
        </w:rPr>
        <w:t>8、成交供应商施工要做到料净、场地清洁、工作不留残余，施工过程不得破坏周围的设施，施工结束后，将施工现场清理干净并运走施工过程所造成的所有垃圾。否则，采购人有权拒绝支付工程款，待破坏解除后再行支付；成交供应商施工过程中破坏周围设施所导致的赔偿费用由成交供应商承担。</w:t>
      </w:r>
    </w:p>
    <w:p w14:paraId="6730ABF4">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b/>
          <w:sz w:val="21"/>
          <w:szCs w:val="21"/>
          <w:highlight w:val="none"/>
        </w:rPr>
        <w:t>四、质量要求和质量保修期</w:t>
      </w:r>
    </w:p>
    <w:p w14:paraId="76A18B3B">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1、采购项目技术规格、参数：详见预算定案书及设计图纸；</w:t>
      </w:r>
    </w:p>
    <w:p w14:paraId="0F2682D5">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2、质量标准：符合国家现行施工验评标准合格或以上等级。</w:t>
      </w:r>
    </w:p>
    <w:p w14:paraId="444CC3AA">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3、验收要求：达到国家现行规范“合格工程”标准。</w:t>
      </w:r>
    </w:p>
    <w:p w14:paraId="52B0F6DD">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4、主要材料使用要求：</w:t>
      </w:r>
    </w:p>
    <w:p w14:paraId="60A12748">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凡属承包范围内的所有材料、设备均由成交供应商自行采购，且应满足：</w:t>
      </w:r>
    </w:p>
    <w:p w14:paraId="74DB3D5B">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（1）成交供应商提供的材料，必须符合设计要求和规范标准；</w:t>
      </w:r>
    </w:p>
    <w:p w14:paraId="077230A5">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（2）工程所需各种材料应按图纸要求由成交供应商自行采购和付款;</w:t>
      </w:r>
    </w:p>
    <w:p w14:paraId="57FD3A26">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（3）符合设计及使用要求以及汕头市政府及相关行业协会的规定。</w:t>
      </w:r>
    </w:p>
    <w:p w14:paraId="3DED2966">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5、保修期（含缺陷责任期、保修期服务要求）：</w:t>
      </w:r>
    </w:p>
    <w:p w14:paraId="7D8FD598">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（1）缺陷责任期自实际竣工日期起计算12个月。</w:t>
      </w:r>
    </w:p>
    <w:p w14:paraId="5FE22667">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（2）质量保修期：自竣工验收合格之日算起。单项竣工验收的工程，按单项工程分别计算质量保修期。</w:t>
      </w:r>
    </w:p>
    <w:p w14:paraId="38064BEE">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双方根据《建设工程质量管理条例》及有关规定，约定本工程质量保修期如下：</w:t>
      </w:r>
    </w:p>
    <w:p w14:paraId="6331E428">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①按建设工程质量管理条例执行；</w:t>
      </w:r>
    </w:p>
    <w:p w14:paraId="2B92BD24">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②其他项目保修期限按政府相关规定执行。</w:t>
      </w:r>
    </w:p>
    <w:p w14:paraId="04326C1F">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6、修复通知：在保修期内成交供应商须在1 小时内响应采购人的保修需求，4小时内到达采购人指定地点，并在规定时间内完成修复。如无法完成，采购人有权委托其他施工单位进行修复，维修费用在质量保证金中扣除。</w:t>
      </w:r>
    </w:p>
    <w:p w14:paraId="53BF47D5">
      <w:pPr>
        <w:pStyle w:val="25"/>
        <w:spacing w:line="360" w:lineRule="auto"/>
        <w:jc w:val="both"/>
        <w:rPr>
          <w:highlight w:val="none"/>
        </w:rPr>
      </w:pPr>
      <w:r>
        <w:rPr>
          <w:b/>
          <w:sz w:val="21"/>
          <w:highlight w:val="none"/>
        </w:rPr>
        <w:t>五、工期要求</w:t>
      </w:r>
    </w:p>
    <w:p w14:paraId="5F7227AB">
      <w:pPr>
        <w:pStyle w:val="25"/>
        <w:spacing w:line="360" w:lineRule="auto"/>
        <w:ind w:firstLine="210" w:firstLineChars="100"/>
        <w:jc w:val="both"/>
        <w:rPr>
          <w:rFonts w:hint="eastAsia" w:ascii="宋体" w:hAnsi="宋体" w:cs="宋体"/>
          <w:b/>
          <w:bCs/>
          <w:color w:val="auto"/>
          <w:highlight w:val="none"/>
          <w:lang w:eastAsia="zh-CN"/>
        </w:rPr>
      </w:pPr>
      <w:r>
        <w:rPr>
          <w:rFonts w:hint="eastAsia" w:ascii="宋体" w:hAnsi="宋体" w:eastAsia="宋体" w:cs="宋体"/>
          <w:sz w:val="21"/>
          <w:szCs w:val="21"/>
          <w:highlight w:val="none"/>
        </w:rPr>
        <w:t xml:space="preserve">1.  </w:t>
      </w:r>
      <w:r>
        <w:rPr>
          <w:rFonts w:hint="eastAsia" w:ascii="宋体" w:hAnsi="宋体" w:eastAsia="宋体" w:cs="宋体"/>
          <w:sz w:val="21"/>
          <w:szCs w:val="21"/>
          <w:highlight w:val="none"/>
          <w:lang w:eastAsia="zh-CN"/>
        </w:rPr>
        <w:t>自合同签订之日起30个日历天内</w:t>
      </w:r>
      <w:r>
        <w:rPr>
          <w:rFonts w:hint="eastAsia" w:ascii="宋体" w:hAnsi="宋体" w:eastAsia="宋体" w:cs="宋体"/>
          <w:color w:val="auto"/>
          <w:sz w:val="21"/>
          <w:szCs w:val="21"/>
          <w:highlight w:val="none"/>
        </w:rPr>
        <w:t>内完成</w:t>
      </w:r>
      <w:r>
        <w:rPr>
          <w:rFonts w:hint="eastAsia" w:ascii="宋体" w:hAnsi="宋体" w:eastAsia="宋体" w:cs="宋体"/>
          <w:sz w:val="21"/>
          <w:szCs w:val="21"/>
          <w:highlight w:val="none"/>
        </w:rPr>
        <w:t>项目的实施、竣工验收并交付采购人。</w:t>
      </w:r>
    </w:p>
    <w:p w14:paraId="4B6D3194">
      <w:pPr>
        <w:tabs>
          <w:tab w:val="left" w:pos="540"/>
        </w:tabs>
        <w:autoSpaceDE/>
        <w:autoSpaceDN/>
        <w:adjustRightInd/>
        <w:snapToGrid w:val="0"/>
        <w:spacing w:line="360" w:lineRule="auto"/>
        <w:ind w:left="6"/>
        <w:jc w:val="both"/>
        <w:rPr>
          <w:rFonts w:ascii="宋体" w:hAnsi="宋体" w:cs="宋体"/>
          <w:color w:val="auto"/>
          <w:highlight w:val="none"/>
        </w:rPr>
      </w:pPr>
      <w:r>
        <w:rPr>
          <w:rFonts w:hint="eastAsia" w:ascii="宋体" w:hAnsi="宋体" w:cs="宋体"/>
          <w:b/>
          <w:bCs/>
          <w:color w:val="auto"/>
          <w:highlight w:val="none"/>
          <w:lang w:eastAsia="zh-CN"/>
        </w:rPr>
        <w:t>六、</w:t>
      </w:r>
      <w:r>
        <w:rPr>
          <w:rFonts w:hint="eastAsia" w:ascii="宋体" w:hAnsi="宋体" w:cs="宋体"/>
          <w:b/>
          <w:bCs/>
          <w:color w:val="auto"/>
          <w:highlight w:val="none"/>
        </w:rPr>
        <w:t>工程款支付及结算</w:t>
      </w:r>
    </w:p>
    <w:p w14:paraId="4E60889A">
      <w:pPr>
        <w:snapToGrid w:val="0"/>
        <w:spacing w:line="360" w:lineRule="auto"/>
        <w:ind w:firstLine="420" w:firstLineChars="200"/>
        <w:rPr>
          <w:rFonts w:hint="eastAsia" w:ascii="宋体" w:hAnsi="宋体" w:eastAsia="宋体" w:cs="宋体"/>
          <w:color w:val="0000FF"/>
          <w:sz w:val="21"/>
          <w:szCs w:val="21"/>
          <w:highlight w:val="none"/>
        </w:rPr>
      </w:pPr>
      <w:r>
        <w:rPr>
          <w:rFonts w:hint="eastAsia" w:ascii="宋体" w:hAnsi="宋体" w:cs="宋体"/>
          <w:color w:val="auto"/>
          <w:highlight w:val="none"/>
        </w:rPr>
        <w:t>根据国家有关规定，</w:t>
      </w:r>
      <w:r>
        <w:rPr>
          <w:rFonts w:hint="eastAsia" w:ascii="宋体" w:hAnsi="宋体" w:cs="宋体"/>
          <w:color w:val="auto"/>
          <w:highlight w:val="none"/>
          <w:lang w:eastAsia="zh-CN"/>
        </w:rPr>
        <w:t>采购人</w:t>
      </w:r>
      <w:r>
        <w:rPr>
          <w:rFonts w:hint="eastAsia" w:ascii="宋体" w:hAnsi="宋体" w:cs="宋体"/>
          <w:color w:val="auto"/>
          <w:highlight w:val="none"/>
        </w:rPr>
        <w:t>将工程款划入</w:t>
      </w:r>
      <w:r>
        <w:rPr>
          <w:rFonts w:hint="eastAsia" w:ascii="宋体" w:hAnsi="宋体" w:cs="宋体"/>
          <w:color w:val="auto"/>
          <w:highlight w:val="none"/>
          <w:lang w:eastAsia="zh-CN"/>
        </w:rPr>
        <w:t>成交供应商</w:t>
      </w:r>
      <w:r>
        <w:rPr>
          <w:rFonts w:hint="eastAsia" w:ascii="宋体" w:hAnsi="宋体" w:cs="宋体"/>
          <w:color w:val="auto"/>
          <w:highlight w:val="none"/>
        </w:rPr>
        <w:t>账户或开具支票，</w:t>
      </w:r>
      <w:r>
        <w:rPr>
          <w:rFonts w:hint="eastAsia" w:ascii="宋体" w:hAnsi="宋体" w:cs="宋体"/>
          <w:color w:val="auto"/>
          <w:highlight w:val="none"/>
          <w:lang w:eastAsia="zh-CN"/>
        </w:rPr>
        <w:t>成交供应商</w:t>
      </w:r>
      <w:r>
        <w:rPr>
          <w:rFonts w:hint="eastAsia" w:ascii="宋体" w:hAnsi="宋体" w:cs="宋体"/>
          <w:color w:val="auto"/>
          <w:highlight w:val="none"/>
        </w:rPr>
        <w:t>不得将工程款另作他用。</w:t>
      </w:r>
      <w:r>
        <w:rPr>
          <w:rFonts w:hint="eastAsia" w:ascii="宋体" w:hAnsi="宋体" w:cs="宋体"/>
          <w:color w:val="auto"/>
          <w:kern w:val="2"/>
          <w:highlight w:val="none"/>
        </w:rPr>
        <w:t>合同款支付以本项目上级专项财政资金到位的前提下</w:t>
      </w:r>
      <w:r>
        <w:rPr>
          <w:rFonts w:hint="eastAsia" w:ascii="宋体" w:hAnsi="宋体" w:cs="宋体"/>
          <w:color w:val="auto"/>
          <w:kern w:val="2"/>
          <w:highlight w:val="none"/>
          <w:lang w:eastAsia="zh-CN"/>
        </w:rPr>
        <w:t>，</w:t>
      </w:r>
      <w:r>
        <w:rPr>
          <w:rFonts w:hint="eastAsia" w:ascii="宋体" w:hAnsi="宋体" w:eastAsia="宋体" w:cs="宋体"/>
          <w:color w:val="auto"/>
          <w:sz w:val="21"/>
          <w:szCs w:val="21"/>
          <w:highlight w:val="none"/>
        </w:rPr>
        <w:t>按工程量进度支付，支付比例如下：</w:t>
      </w:r>
    </w:p>
    <w:p w14:paraId="6DF67F80">
      <w:pPr>
        <w:wordWrap w:val="0"/>
        <w:snapToGrid w:val="0"/>
        <w:spacing w:line="360" w:lineRule="auto"/>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rPr>
        <w:t>1、</w:t>
      </w: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w:t>
      </w:r>
    </w:p>
    <w:p w14:paraId="04621377">
      <w:pPr>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总额为</w:t>
      </w:r>
      <w:r>
        <w:rPr>
          <w:rFonts w:hint="eastAsia" w:ascii="宋体" w:hAnsi="宋体" w:cs="宋体"/>
          <w:color w:val="auto"/>
          <w:kern w:val="0"/>
          <w:sz w:val="21"/>
          <w:szCs w:val="21"/>
          <w:highlight w:val="none"/>
          <w:u w:val="single"/>
          <w:lang w:val="en-US" w:eastAsia="zh-CN"/>
        </w:rPr>
        <w:t>10,862.96</w:t>
      </w:r>
      <w:r>
        <w:rPr>
          <w:rFonts w:hint="eastAsia" w:ascii="宋体" w:hAnsi="宋体" w:eastAsia="宋体" w:cs="宋体"/>
          <w:color w:val="auto"/>
          <w:kern w:val="0"/>
          <w:sz w:val="21"/>
          <w:szCs w:val="21"/>
          <w:highlight w:val="none"/>
        </w:rPr>
        <w:t>元。</w:t>
      </w: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的内容和范围：承包人必须按《广东省建设厅建筑工程安全防护、文明施工措施费用管理办法》（粤建管字[2007]39号）的要求，完成其“</w:t>
      </w: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所包括的项目”的内容。</w:t>
      </w: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在合同签订后支付预付款的同时，支付50%的</w:t>
      </w: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，剩余50%的</w:t>
      </w: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，在工程完成50%工程量后支付。</w:t>
      </w:r>
    </w:p>
    <w:p w14:paraId="4E02C311">
      <w:pPr>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 xml:space="preserve"> 预付款：</w:t>
      </w:r>
    </w:p>
    <w:p w14:paraId="5B881A6F">
      <w:pPr>
        <w:widowControl/>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rPr>
        <w:t>预付款的额度和预付办法：</w:t>
      </w:r>
      <w:r>
        <w:rPr>
          <w:rFonts w:hint="eastAsia" w:ascii="宋体" w:hAnsi="宋体" w:eastAsia="宋体" w:cs="宋体"/>
          <w:color w:val="auto"/>
          <w:kern w:val="0"/>
          <w:sz w:val="21"/>
          <w:szCs w:val="21"/>
          <w:highlight w:val="none"/>
          <w:u w:val="single"/>
        </w:rPr>
        <w:t>预付款的额度按（合同价款-绿色施工安全防护措施费）×30%，合同签订后10天内</w:t>
      </w:r>
      <w:r>
        <w:rPr>
          <w:rFonts w:hint="eastAsia" w:ascii="宋体" w:hAnsi="宋体" w:eastAsia="宋体" w:cs="宋体"/>
          <w:color w:val="auto"/>
          <w:kern w:val="0"/>
          <w:sz w:val="21"/>
          <w:szCs w:val="21"/>
          <w:highlight w:val="none"/>
        </w:rPr>
        <w:t>。</w:t>
      </w:r>
    </w:p>
    <w:p w14:paraId="39946D51">
      <w:pPr>
        <w:widowControl/>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预付款的扣回：</w:t>
      </w:r>
      <w:r>
        <w:rPr>
          <w:rFonts w:hint="eastAsia" w:ascii="宋体" w:hAnsi="宋体" w:eastAsia="宋体" w:cs="宋体"/>
          <w:color w:val="auto"/>
          <w:kern w:val="0"/>
          <w:sz w:val="21"/>
          <w:szCs w:val="21"/>
          <w:highlight w:val="none"/>
          <w:u w:val="single"/>
        </w:rPr>
        <w:t>不扣回</w:t>
      </w:r>
      <w:r>
        <w:rPr>
          <w:rFonts w:hint="eastAsia" w:ascii="宋体" w:hAnsi="宋体" w:eastAsia="宋体" w:cs="宋体"/>
          <w:color w:val="auto"/>
          <w:kern w:val="0"/>
          <w:sz w:val="21"/>
          <w:szCs w:val="21"/>
          <w:highlight w:val="none"/>
        </w:rPr>
        <w:t>。</w:t>
      </w:r>
    </w:p>
    <w:p w14:paraId="20231D51">
      <w:pPr>
        <w:widowControl/>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工程进度款付款：</w:t>
      </w:r>
    </w:p>
    <w:p w14:paraId="49058CC0">
      <w:pPr>
        <w:pStyle w:val="6"/>
        <w:ind w:firstLine="420" w:firstLineChars="200"/>
        <w:rPr>
          <w:rFonts w:hint="eastAsia" w:ascii="宋体" w:hAnsi="宋体" w:eastAsia="宋体" w:cs="宋体"/>
          <w:color w:val="auto"/>
          <w:kern w:val="0"/>
          <w:sz w:val="21"/>
          <w:szCs w:val="21"/>
          <w:highlight w:val="none"/>
          <w:u w:val="single"/>
        </w:rPr>
      </w:pPr>
      <w:r>
        <w:rPr>
          <w:rFonts w:hint="eastAsia" w:ascii="宋体" w:hAnsi="宋体" w:eastAsia="宋体" w:cs="宋体"/>
          <w:color w:val="auto"/>
          <w:kern w:val="0"/>
          <w:sz w:val="21"/>
          <w:szCs w:val="21"/>
          <w:highlight w:val="none"/>
          <w:u w:val="single"/>
        </w:rPr>
        <w:t>进度款计算方式：（合同价款-</w:t>
      </w:r>
      <w:r>
        <w:rPr>
          <w:rFonts w:hint="eastAsia" w:ascii="宋体" w:hAnsi="宋体" w:eastAsia="宋体" w:cs="宋体"/>
          <w:color w:val="auto"/>
          <w:kern w:val="0"/>
          <w:sz w:val="21"/>
          <w:szCs w:val="21"/>
          <w:highlight w:val="none"/>
          <w:u w:val="single"/>
          <w:lang w:eastAsia="zh-CN"/>
        </w:rPr>
        <w:t>安全生产措施费</w:t>
      </w:r>
      <w:r>
        <w:rPr>
          <w:rFonts w:hint="eastAsia" w:ascii="宋体" w:hAnsi="宋体" w:eastAsia="宋体" w:cs="宋体"/>
          <w:color w:val="auto"/>
          <w:kern w:val="0"/>
          <w:sz w:val="21"/>
          <w:szCs w:val="21"/>
          <w:highlight w:val="none"/>
          <w:u w:val="single"/>
        </w:rPr>
        <w:t>）×支付比例（%）。</w:t>
      </w:r>
    </w:p>
    <w:p w14:paraId="5F17799C">
      <w:pPr>
        <w:widowControl/>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rPr>
        <w:t>工程总工程量完成</w:t>
      </w:r>
      <w:r>
        <w:rPr>
          <w:rFonts w:hint="eastAsia" w:ascii="宋体" w:hAnsi="宋体" w:cs="宋体"/>
          <w:color w:val="auto"/>
          <w:kern w:val="0"/>
          <w:sz w:val="21"/>
          <w:szCs w:val="21"/>
          <w:highlight w:val="none"/>
          <w:lang w:val="en-US" w:eastAsia="zh-CN"/>
        </w:rPr>
        <w:t>85</w:t>
      </w:r>
      <w:r>
        <w:rPr>
          <w:rFonts w:hint="eastAsia" w:ascii="宋体" w:hAnsi="宋体" w:eastAsia="宋体" w:cs="宋体"/>
          <w:color w:val="auto"/>
          <w:kern w:val="0"/>
          <w:sz w:val="21"/>
          <w:szCs w:val="21"/>
          <w:highlight w:val="none"/>
        </w:rPr>
        <w:t>%，经监理及采购人审核批准后，采购人支付合同价</w:t>
      </w:r>
      <w:r>
        <w:rPr>
          <w:rFonts w:hint="eastAsia" w:ascii="宋体" w:hAnsi="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0%作为工程进度款；</w:t>
      </w:r>
    </w:p>
    <w:p w14:paraId="0D51E467">
      <w:pPr>
        <w:widowControl/>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lang w:val="en-US" w:eastAsia="zh-CN"/>
        </w:rPr>
        <w:t>）</w:t>
      </w:r>
      <w:r>
        <w:rPr>
          <w:rFonts w:hint="eastAsia" w:ascii="宋体" w:hAnsi="宋体" w:eastAsia="宋体" w:cs="宋体"/>
          <w:color w:val="auto"/>
          <w:kern w:val="0"/>
          <w:sz w:val="21"/>
          <w:szCs w:val="21"/>
          <w:highlight w:val="none"/>
        </w:rPr>
        <w:t>工程完工验收</w:t>
      </w:r>
      <w:r>
        <w:rPr>
          <w:rFonts w:hint="eastAsia" w:ascii="宋体" w:hAnsi="宋体" w:cs="宋体"/>
        </w:rPr>
        <w:t>合格并完成财政审核</w:t>
      </w:r>
      <w:r>
        <w:rPr>
          <w:rFonts w:hint="eastAsia" w:ascii="宋体" w:hAnsi="宋体" w:cs="宋体"/>
          <w:lang w:eastAsia="zh-CN"/>
        </w:rPr>
        <w:t>或有资质第三方审核</w:t>
      </w:r>
      <w:r>
        <w:rPr>
          <w:rFonts w:hint="eastAsia" w:ascii="宋体" w:hAnsi="宋体" w:cs="宋体"/>
        </w:rPr>
        <w:t>定案后</w:t>
      </w:r>
      <w:r>
        <w:rPr>
          <w:rFonts w:hint="eastAsia" w:ascii="宋体" w:hAnsi="宋体" w:eastAsia="宋体" w:cs="宋体"/>
          <w:color w:val="auto"/>
          <w:kern w:val="0"/>
          <w:sz w:val="21"/>
          <w:szCs w:val="21"/>
          <w:highlight w:val="none"/>
        </w:rPr>
        <w:t>，采购人支付至工程结算造价的</w:t>
      </w:r>
      <w:r>
        <w:rPr>
          <w:rFonts w:hint="eastAsia" w:ascii="宋体" w:hAnsi="宋体" w:cs="宋体"/>
          <w:color w:val="auto"/>
          <w:kern w:val="0"/>
          <w:sz w:val="21"/>
          <w:szCs w:val="21"/>
          <w:highlight w:val="none"/>
          <w:lang w:val="en-US" w:eastAsia="zh-CN"/>
        </w:rPr>
        <w:t>100</w:t>
      </w:r>
      <w:r>
        <w:rPr>
          <w:rFonts w:hint="eastAsia" w:ascii="宋体" w:hAnsi="宋体" w:eastAsia="宋体" w:cs="宋体"/>
          <w:color w:val="auto"/>
          <w:kern w:val="0"/>
          <w:sz w:val="21"/>
          <w:szCs w:val="21"/>
          <w:highlight w:val="none"/>
        </w:rPr>
        <w:t>%；</w:t>
      </w:r>
    </w:p>
    <w:p w14:paraId="6ADE1DAC">
      <w:pPr>
        <w:snapToGrid w:val="0"/>
        <w:spacing w:line="360" w:lineRule="auto"/>
        <w:ind w:firstLine="420" w:firstLineChars="200"/>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eastAsia="zh-CN"/>
        </w:rPr>
        <w:t>（</w:t>
      </w:r>
      <w:r>
        <w:rPr>
          <w:rFonts w:hint="eastAsia" w:ascii="宋体" w:hAnsi="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lang w:val="en-US" w:eastAsia="zh-CN"/>
        </w:rPr>
        <w:t>）</w:t>
      </w:r>
      <w:r>
        <w:rPr>
          <w:rFonts w:hint="eastAsia" w:ascii="宋体" w:hAnsi="宋体" w:eastAsia="宋体" w:cs="宋体"/>
          <w:color w:val="auto"/>
          <w:kern w:val="0"/>
          <w:sz w:val="21"/>
          <w:szCs w:val="21"/>
          <w:highlight w:val="none"/>
        </w:rPr>
        <w:t>结算造价的3%作为工程质量保证金（注：质量保证金形式：保函或保险单；质量保证金退还：</w:t>
      </w:r>
      <w:r>
        <w:rPr>
          <w:rFonts w:hint="eastAsia" w:ascii="宋体" w:hAnsi="宋体" w:cs="宋体"/>
          <w:color w:val="auto"/>
          <w:kern w:val="0"/>
          <w:sz w:val="21"/>
          <w:szCs w:val="21"/>
          <w:highlight w:val="none"/>
          <w:lang w:eastAsia="zh-CN"/>
        </w:rPr>
        <w:t>质量保证期期限为竣工验收合格后一年，</w:t>
      </w:r>
      <w:r>
        <w:rPr>
          <w:rFonts w:hint="eastAsia" w:ascii="宋体" w:hAnsi="宋体" w:eastAsia="宋体" w:cs="宋体"/>
          <w:color w:val="auto"/>
          <w:kern w:val="0"/>
          <w:sz w:val="21"/>
          <w:szCs w:val="21"/>
          <w:highlight w:val="none"/>
        </w:rPr>
        <w:t>质保期到期后且质保期内无质量问题退还</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w:t>
      </w:r>
    </w:p>
    <w:p w14:paraId="339267F8">
      <w:pPr>
        <w:widowControl/>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 xml:space="preserve">进度付款证书和支付时间 </w:t>
      </w:r>
    </w:p>
    <w:p w14:paraId="63C1C0C0">
      <w:pPr>
        <w:widowControl/>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发包人逾期支付进度款时违约金的计算及支付办法：</w:t>
      </w:r>
      <w:r>
        <w:rPr>
          <w:rFonts w:hint="eastAsia" w:ascii="宋体" w:hAnsi="宋体" w:eastAsia="宋体" w:cs="宋体"/>
          <w:color w:val="auto"/>
          <w:kern w:val="0"/>
          <w:sz w:val="21"/>
          <w:szCs w:val="21"/>
          <w:highlight w:val="none"/>
          <w:u w:val="single"/>
        </w:rPr>
        <w:t>不支付逾期违约金</w:t>
      </w:r>
      <w:r>
        <w:rPr>
          <w:rFonts w:hint="eastAsia" w:ascii="宋体" w:hAnsi="宋体" w:eastAsia="宋体" w:cs="宋体"/>
          <w:color w:val="auto"/>
          <w:kern w:val="0"/>
          <w:sz w:val="21"/>
          <w:szCs w:val="21"/>
          <w:highlight w:val="none"/>
        </w:rPr>
        <w:t>。</w:t>
      </w:r>
    </w:p>
    <w:p w14:paraId="560B47FC">
      <w:pPr>
        <w:adjustRightInd w:val="0"/>
        <w:snapToGrid w:val="0"/>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注：</w:t>
      </w:r>
      <w:r>
        <w:rPr>
          <w:rFonts w:hint="eastAsia" w:ascii="宋体" w:hAnsi="宋体" w:eastAsia="宋体" w:cs="宋体"/>
          <w:b/>
          <w:bCs/>
          <w:color w:val="auto"/>
          <w:kern w:val="0"/>
          <w:sz w:val="21"/>
          <w:szCs w:val="21"/>
          <w:highlight w:val="none"/>
        </w:rPr>
        <w:t>款项的到位时间具体以财政局集中支付的办理时间为准，承包人不得以此为由停工或拖延工期</w:t>
      </w:r>
      <w:r>
        <w:rPr>
          <w:rFonts w:hint="eastAsia" w:ascii="宋体" w:hAnsi="宋体" w:cs="宋体"/>
          <w:b/>
          <w:bCs/>
          <w:color w:val="auto"/>
          <w:kern w:val="0"/>
          <w:sz w:val="21"/>
          <w:szCs w:val="21"/>
          <w:highlight w:val="none"/>
          <w:lang w:eastAsia="zh-CN"/>
        </w:rPr>
        <w:t>或主张维权等</w:t>
      </w:r>
      <w:r>
        <w:rPr>
          <w:rFonts w:hint="eastAsia" w:ascii="宋体" w:hAnsi="宋体" w:eastAsia="宋体" w:cs="宋体"/>
          <w:color w:val="auto"/>
          <w:kern w:val="0"/>
          <w:sz w:val="21"/>
          <w:szCs w:val="21"/>
          <w:highlight w:val="none"/>
        </w:rPr>
        <w:t>。</w:t>
      </w:r>
    </w:p>
    <w:p w14:paraId="507DED29">
      <w:pPr>
        <w:pStyle w:val="2"/>
        <w:snapToGrid w:val="0"/>
        <w:spacing w:line="360" w:lineRule="auto"/>
        <w:rPr>
          <w:rFonts w:hint="default" w:ascii="宋体" w:hAnsi="宋体" w:eastAsia="宋体" w:cs="宋体"/>
          <w:b/>
          <w:color w:val="auto"/>
          <w:sz w:val="21"/>
          <w:szCs w:val="21"/>
        </w:rPr>
      </w:pPr>
      <w:r>
        <w:rPr>
          <w:rFonts w:ascii="宋体" w:hAnsi="宋体" w:eastAsia="宋体" w:cs="宋体"/>
          <w:b/>
          <w:color w:val="auto"/>
          <w:sz w:val="21"/>
          <w:szCs w:val="21"/>
        </w:rPr>
        <w:t>七</w:t>
      </w:r>
      <w:r>
        <w:rPr>
          <w:rFonts w:hint="eastAsia" w:ascii="宋体" w:hAnsi="宋体" w:eastAsia="宋体" w:cs="宋体"/>
          <w:b/>
          <w:color w:val="auto"/>
          <w:sz w:val="21"/>
          <w:szCs w:val="21"/>
          <w:lang w:eastAsia="zh-CN"/>
        </w:rPr>
        <w:t>、</w:t>
      </w:r>
      <w:r>
        <w:rPr>
          <w:rFonts w:ascii="宋体" w:hAnsi="宋体" w:eastAsia="宋体" w:cs="宋体"/>
          <w:b/>
          <w:color w:val="auto"/>
          <w:sz w:val="21"/>
          <w:szCs w:val="21"/>
        </w:rPr>
        <w:t>报价要求</w:t>
      </w:r>
    </w:p>
    <w:p w14:paraId="36ECD203">
      <w:pPr>
        <w:pStyle w:val="2"/>
        <w:numPr>
          <w:ilvl w:val="0"/>
          <w:numId w:val="15"/>
        </w:numPr>
        <w:snapToGrid w:val="0"/>
        <w:spacing w:line="360" w:lineRule="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 xml:space="preserve"> 总报价不得超出本项目最高限价为</w:t>
      </w:r>
      <w:r>
        <w:rPr>
          <w:rFonts w:hint="eastAsia" w:ascii="宋体" w:hAnsi="宋体" w:eastAsia="宋体" w:cs="宋体"/>
          <w:bCs/>
          <w:sz w:val="21"/>
          <w:szCs w:val="21"/>
          <w:highlight w:val="none"/>
          <w:lang w:val="en-US" w:eastAsia="zh-CN"/>
        </w:rPr>
        <w:t>276,669.28</w:t>
      </w:r>
      <w:r>
        <w:rPr>
          <w:rFonts w:hint="eastAsia" w:ascii="宋体" w:hAnsi="宋体" w:eastAsia="宋体" w:cs="宋体"/>
          <w:bCs/>
          <w:color w:val="auto"/>
          <w:sz w:val="21"/>
          <w:szCs w:val="21"/>
          <w:highlight w:val="none"/>
        </w:rPr>
        <w:t>元，否则视为无效报价。</w:t>
      </w:r>
    </w:p>
    <w:p w14:paraId="633DDD24">
      <w:pPr>
        <w:pStyle w:val="2"/>
        <w:numPr>
          <w:ilvl w:val="0"/>
          <w:numId w:val="15"/>
        </w:numPr>
        <w:snapToGrid w:val="0"/>
        <w:spacing w:line="360" w:lineRule="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 xml:space="preserve"> 绿色施工安全防护措施费为</w:t>
      </w:r>
      <w:r>
        <w:rPr>
          <w:rFonts w:hint="eastAsia" w:ascii="宋体" w:hAnsi="宋体" w:eastAsia="宋体" w:cs="宋体"/>
          <w:bCs/>
          <w:color w:val="auto"/>
          <w:sz w:val="21"/>
          <w:szCs w:val="21"/>
          <w:highlight w:val="none"/>
          <w:lang w:val="en-US" w:eastAsia="zh-CN"/>
        </w:rPr>
        <w:t>10,862.96</w:t>
      </w:r>
      <w:r>
        <w:rPr>
          <w:rFonts w:hint="eastAsia" w:ascii="宋体" w:hAnsi="宋体" w:eastAsia="宋体" w:cs="宋体"/>
          <w:bCs/>
          <w:color w:val="auto"/>
          <w:sz w:val="21"/>
          <w:szCs w:val="21"/>
          <w:highlight w:val="none"/>
        </w:rPr>
        <w:t>元，</w:t>
      </w:r>
      <w:r>
        <w:rPr>
          <w:rFonts w:hint="eastAsia" w:ascii="宋体" w:hAnsi="宋体"/>
          <w:snapToGrid/>
          <w:color w:val="auto"/>
          <w:spacing w:val="0"/>
          <w:kern w:val="2"/>
          <w:sz w:val="21"/>
          <w:highlight w:val="none"/>
          <w:lang w:val="en-US" w:eastAsia="zh-CN"/>
        </w:rPr>
        <w:t>暂估价113,180.00元，</w:t>
      </w:r>
      <w:r>
        <w:rPr>
          <w:rFonts w:hint="eastAsia" w:ascii="宋体" w:hAnsi="宋体" w:eastAsia="宋体" w:cs="宋体"/>
          <w:bCs/>
          <w:color w:val="auto"/>
          <w:sz w:val="21"/>
          <w:szCs w:val="21"/>
          <w:highlight w:val="none"/>
        </w:rPr>
        <w:t>不列入竞价范围。</w:t>
      </w:r>
    </w:p>
    <w:p w14:paraId="44BE688E">
      <w:pPr>
        <w:pStyle w:val="2"/>
        <w:numPr>
          <w:ilvl w:val="0"/>
          <w:numId w:val="15"/>
        </w:numPr>
        <w:snapToGrid w:val="0"/>
        <w:spacing w:line="360" w:lineRule="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 xml:space="preserve"> 报价包括完成本项目全部内容所需费用的含税价，且符合国家有关的价格规定（如有）。</w:t>
      </w:r>
    </w:p>
    <w:p w14:paraId="061A7EF4">
      <w:pPr>
        <w:pStyle w:val="2"/>
        <w:numPr>
          <w:ilvl w:val="0"/>
          <w:numId w:val="15"/>
        </w:numPr>
        <w:snapToGrid w:val="0"/>
        <w:spacing w:line="360" w:lineRule="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rPr>
        <w:t xml:space="preserve"> 报价下浮率=（采购项目预算金额-投标总报价）/（采购项目预算金额-绿色施工安全防护措施费</w:t>
      </w:r>
      <w:r>
        <w:rPr>
          <w:rFonts w:hint="eastAsia" w:ascii="宋体" w:hAnsi="宋体" w:eastAsia="宋体" w:cs="宋体"/>
          <w:bCs/>
          <w:color w:val="auto"/>
          <w:sz w:val="21"/>
          <w:szCs w:val="21"/>
          <w:highlight w:val="none"/>
          <w:lang w:val="en-US" w:eastAsia="zh-CN"/>
        </w:rPr>
        <w:t>-暂估价</w:t>
      </w:r>
      <w:r>
        <w:rPr>
          <w:rFonts w:hint="eastAsia" w:ascii="宋体" w:hAnsi="宋体" w:eastAsia="宋体" w:cs="宋体"/>
          <w:bCs/>
          <w:color w:val="auto"/>
          <w:sz w:val="21"/>
          <w:szCs w:val="21"/>
          <w:highlight w:val="none"/>
        </w:rPr>
        <w:t>）*100%</w:t>
      </w:r>
      <w:r>
        <w:rPr>
          <w:rFonts w:hint="eastAsia" w:ascii="宋体" w:hAnsi="宋体" w:eastAsia="宋体" w:cs="宋体"/>
          <w:bCs/>
          <w:color w:val="auto"/>
          <w:sz w:val="21"/>
          <w:szCs w:val="21"/>
          <w:highlight w:val="none"/>
          <w:lang w:val="en-US" w:eastAsia="zh-CN"/>
        </w:rPr>
        <w:t>，否则视为无效报价。</w:t>
      </w:r>
    </w:p>
    <w:p w14:paraId="1C13B2E8">
      <w:pPr>
        <w:pStyle w:val="2"/>
        <w:snapToGrid w:val="0"/>
        <w:spacing w:line="360" w:lineRule="auto"/>
        <w:rPr>
          <w:rFonts w:hint="default" w:ascii="宋体" w:hAnsi="宋体" w:eastAsia="宋体" w:cs="宋体"/>
          <w:bCs/>
          <w:color w:val="auto"/>
          <w:sz w:val="21"/>
          <w:szCs w:val="21"/>
        </w:rPr>
      </w:pPr>
    </w:p>
    <w:p w14:paraId="3189ED0C"/>
    <w:p w14:paraId="49B09836">
      <w:pPr>
        <w:pStyle w:val="17"/>
        <w:ind w:firstLine="420"/>
      </w:pPr>
    </w:p>
    <w:p w14:paraId="76C7223F">
      <w:pPr>
        <w:pStyle w:val="17"/>
        <w:ind w:firstLine="420"/>
      </w:pPr>
    </w:p>
    <w:p w14:paraId="4FE83926">
      <w:pPr>
        <w:pStyle w:val="17"/>
        <w:ind w:firstLine="0" w:firstLineChars="0"/>
      </w:pPr>
    </w:p>
    <w:p w14:paraId="3654DC85">
      <w:pPr>
        <w:pStyle w:val="17"/>
        <w:ind w:firstLine="0" w:firstLineChars="0"/>
      </w:pPr>
    </w:p>
    <w:p w14:paraId="49B467F9">
      <w:pPr>
        <w:pStyle w:val="17"/>
        <w:ind w:firstLine="0" w:firstLineChars="0"/>
      </w:pPr>
    </w:p>
    <w:p w14:paraId="6C1E4801">
      <w:pPr>
        <w:pStyle w:val="17"/>
        <w:ind w:firstLine="0" w:firstLineChars="0"/>
      </w:pPr>
    </w:p>
    <w:p w14:paraId="1D8AD418">
      <w:pPr>
        <w:pStyle w:val="17"/>
        <w:ind w:firstLine="0" w:firstLineChars="0"/>
      </w:pPr>
    </w:p>
    <w:p w14:paraId="597B734C">
      <w:pPr>
        <w:pStyle w:val="17"/>
        <w:ind w:firstLine="0" w:firstLineChars="0"/>
      </w:pPr>
    </w:p>
    <w:p w14:paraId="3DD9D84A">
      <w:pPr>
        <w:pStyle w:val="17"/>
        <w:ind w:firstLine="0" w:firstLineChars="0"/>
      </w:pPr>
    </w:p>
    <w:p w14:paraId="0C638E83">
      <w:pPr>
        <w:pStyle w:val="17"/>
        <w:ind w:firstLine="0" w:firstLineChars="0"/>
      </w:pPr>
    </w:p>
    <w:p w14:paraId="53F4FE7A">
      <w:pPr>
        <w:pStyle w:val="17"/>
        <w:ind w:firstLine="0" w:firstLineChars="0"/>
      </w:pPr>
    </w:p>
    <w:p w14:paraId="4847D6ED">
      <w:pPr>
        <w:pStyle w:val="17"/>
        <w:ind w:firstLine="420"/>
      </w:pPr>
    </w:p>
    <w:p w14:paraId="60282C0B">
      <w:pPr>
        <w:pStyle w:val="17"/>
        <w:ind w:left="0" w:leftChars="0" w:firstLine="0" w:firstLineChars="0"/>
      </w:pPr>
    </w:p>
    <w:p w14:paraId="3A7871EE">
      <w:pPr>
        <w:pStyle w:val="17"/>
        <w:ind w:firstLine="420"/>
      </w:pPr>
    </w:p>
    <w:p w14:paraId="682D9CCC">
      <w:pPr>
        <w:pStyle w:val="17"/>
        <w:ind w:firstLine="420"/>
      </w:pPr>
    </w:p>
    <w:p w14:paraId="0D83AC0B">
      <w:pPr>
        <w:pStyle w:val="17"/>
        <w:ind w:firstLine="420"/>
      </w:pPr>
    </w:p>
    <w:p w14:paraId="6F9155AF">
      <w:pPr>
        <w:pStyle w:val="17"/>
        <w:ind w:firstLine="420"/>
      </w:pPr>
    </w:p>
    <w:p w14:paraId="7CC7907E">
      <w:pPr>
        <w:pStyle w:val="17"/>
        <w:ind w:firstLine="420"/>
      </w:pPr>
    </w:p>
    <w:p w14:paraId="31B13CB9">
      <w:pPr>
        <w:pStyle w:val="17"/>
        <w:ind w:firstLine="420"/>
      </w:pPr>
    </w:p>
    <w:p w14:paraId="3F0F66CB">
      <w:pPr>
        <w:pStyle w:val="17"/>
        <w:ind w:firstLine="420"/>
      </w:pPr>
    </w:p>
    <w:p w14:paraId="6F84BE2D">
      <w:pPr>
        <w:pStyle w:val="17"/>
        <w:ind w:firstLine="420"/>
      </w:pPr>
    </w:p>
    <w:p w14:paraId="2DFB51CA">
      <w:pPr>
        <w:pStyle w:val="17"/>
        <w:ind w:firstLine="420"/>
      </w:pPr>
    </w:p>
    <w:p w14:paraId="4858DC81">
      <w:pPr>
        <w:pStyle w:val="17"/>
        <w:ind w:firstLine="420"/>
      </w:pPr>
    </w:p>
    <w:p w14:paraId="406115F8">
      <w:pPr>
        <w:pStyle w:val="17"/>
        <w:ind w:firstLine="420"/>
      </w:pPr>
    </w:p>
    <w:p w14:paraId="7BFDEF10">
      <w:pPr>
        <w:pStyle w:val="17"/>
        <w:ind w:firstLine="420"/>
      </w:pPr>
    </w:p>
    <w:p w14:paraId="7157B2B4">
      <w:pPr>
        <w:pStyle w:val="17"/>
        <w:ind w:firstLine="420"/>
      </w:pPr>
    </w:p>
    <w:p w14:paraId="7F6C0272">
      <w:pPr>
        <w:pStyle w:val="17"/>
        <w:ind w:firstLine="420"/>
      </w:pPr>
    </w:p>
    <w:p w14:paraId="76BAACED">
      <w:pPr>
        <w:pStyle w:val="17"/>
        <w:ind w:firstLine="420"/>
      </w:pPr>
    </w:p>
    <w:p w14:paraId="255720C1">
      <w:pPr>
        <w:pStyle w:val="17"/>
        <w:ind w:firstLine="420"/>
      </w:pPr>
    </w:p>
    <w:p w14:paraId="63024F55">
      <w:pPr>
        <w:pStyle w:val="17"/>
        <w:ind w:firstLine="420"/>
      </w:pPr>
    </w:p>
    <w:p w14:paraId="0656FC9A">
      <w:pPr>
        <w:pStyle w:val="17"/>
        <w:ind w:firstLine="420"/>
      </w:pPr>
    </w:p>
    <w:p w14:paraId="77159D40">
      <w:pPr>
        <w:pStyle w:val="17"/>
        <w:ind w:firstLine="420"/>
      </w:pPr>
    </w:p>
    <w:p w14:paraId="491C3ACF">
      <w:pPr>
        <w:pStyle w:val="17"/>
        <w:ind w:firstLine="420"/>
      </w:pPr>
    </w:p>
    <w:p w14:paraId="7D7FD0D9">
      <w:pPr>
        <w:pStyle w:val="17"/>
        <w:ind w:firstLine="420"/>
      </w:pPr>
    </w:p>
    <w:p w14:paraId="0C642C50">
      <w:pPr>
        <w:pStyle w:val="17"/>
        <w:ind w:firstLine="420"/>
      </w:pPr>
    </w:p>
    <w:p w14:paraId="65F1540C">
      <w:pPr>
        <w:pStyle w:val="17"/>
        <w:ind w:firstLine="420"/>
      </w:pPr>
    </w:p>
    <w:p w14:paraId="0903B691">
      <w:pPr>
        <w:pStyle w:val="17"/>
        <w:ind w:firstLine="420"/>
      </w:pPr>
    </w:p>
    <w:p w14:paraId="027E6C2E">
      <w:pPr>
        <w:pStyle w:val="17"/>
        <w:ind w:left="0" w:leftChars="0" w:firstLine="0" w:firstLineChars="0"/>
      </w:pPr>
    </w:p>
    <w:p w14:paraId="35EE6C3C"/>
    <w:p w14:paraId="33236543">
      <w:pPr>
        <w:pStyle w:val="18"/>
      </w:pPr>
    </w:p>
    <w:p w14:paraId="74285BAA">
      <w:pPr>
        <w:pStyle w:val="18"/>
      </w:pPr>
    </w:p>
    <w:p w14:paraId="35C24D4F">
      <w:pPr>
        <w:pStyle w:val="18"/>
      </w:pPr>
    </w:p>
    <w:p w14:paraId="40A8B39E">
      <w:pPr>
        <w:pStyle w:val="18"/>
      </w:pPr>
    </w:p>
    <w:p w14:paraId="582E05EF">
      <w:pPr>
        <w:pStyle w:val="17"/>
        <w:ind w:firstLine="420"/>
      </w:pPr>
    </w:p>
    <w:p w14:paraId="52A32DCE">
      <w:pPr>
        <w:numPr>
          <w:ilvl w:val="0"/>
          <w:numId w:val="16"/>
        </w:numPr>
        <w:autoSpaceDE/>
        <w:autoSpaceDN/>
        <w:adjustRightInd/>
        <w:spacing w:line="360" w:lineRule="auto"/>
        <w:jc w:val="center"/>
        <w:outlineLvl w:val="0"/>
        <w:rPr>
          <w:rFonts w:ascii="仿宋_GB2312" w:eastAsia="仿宋_GB2312"/>
          <w:b/>
          <w:bCs/>
          <w:kern w:val="2"/>
          <w:sz w:val="28"/>
          <w:szCs w:val="28"/>
        </w:rPr>
      </w:pPr>
      <w:bookmarkStart w:id="32" w:name="_Toc435431403"/>
      <w:bookmarkEnd w:id="32"/>
      <w:bookmarkStart w:id="33" w:name="_Toc438645884"/>
      <w:bookmarkEnd w:id="33"/>
      <w:bookmarkStart w:id="34" w:name="_Toc11359"/>
      <w:bookmarkStart w:id="35" w:name="_Toc410736171"/>
      <w:bookmarkStart w:id="36" w:name="_Toc410738971"/>
      <w:r>
        <w:rPr>
          <w:rFonts w:hint="eastAsia" w:ascii="仿宋_GB2312" w:eastAsia="仿宋_GB2312"/>
          <w:b/>
          <w:bCs/>
          <w:kern w:val="2"/>
          <w:sz w:val="28"/>
          <w:szCs w:val="28"/>
        </w:rPr>
        <w:t>合同通用条款</w:t>
      </w:r>
      <w:bookmarkEnd w:id="34"/>
    </w:p>
    <w:p w14:paraId="65131465">
      <w:pPr>
        <w:tabs>
          <w:tab w:val="left" w:pos="720"/>
        </w:tabs>
        <w:spacing w:line="360" w:lineRule="auto"/>
        <w:ind w:firstLine="3935" w:firstLineChars="1400"/>
        <w:rPr>
          <w:rFonts w:ascii="宋体" w:hAnsi="宋体" w:cs="宋体"/>
          <w:b/>
          <w:sz w:val="28"/>
          <w:szCs w:val="28"/>
        </w:rPr>
      </w:pPr>
    </w:p>
    <w:p w14:paraId="42BF8A06">
      <w:pPr>
        <w:tabs>
          <w:tab w:val="left" w:pos="720"/>
        </w:tabs>
        <w:spacing w:line="360" w:lineRule="auto"/>
        <w:ind w:firstLine="3935" w:firstLineChars="1400"/>
        <w:rPr>
          <w:rFonts w:ascii="宋体" w:hAnsi="宋体" w:cs="宋体"/>
          <w:b/>
          <w:sz w:val="28"/>
          <w:szCs w:val="28"/>
        </w:rPr>
      </w:pPr>
    </w:p>
    <w:p w14:paraId="0427C55C">
      <w:pPr>
        <w:tabs>
          <w:tab w:val="left" w:pos="720"/>
        </w:tabs>
        <w:spacing w:line="360" w:lineRule="auto"/>
        <w:ind w:firstLine="3935" w:firstLineChars="1400"/>
        <w:rPr>
          <w:rFonts w:ascii="宋体" w:hAnsi="宋体" w:cs="宋体"/>
          <w:b/>
          <w:sz w:val="28"/>
          <w:szCs w:val="28"/>
        </w:rPr>
      </w:pPr>
    </w:p>
    <w:p w14:paraId="73D83D92">
      <w:pPr>
        <w:tabs>
          <w:tab w:val="left" w:pos="720"/>
        </w:tabs>
        <w:spacing w:line="360" w:lineRule="auto"/>
        <w:ind w:firstLine="3935" w:firstLineChars="1400"/>
        <w:rPr>
          <w:rFonts w:ascii="宋体" w:hAnsi="宋体" w:cs="宋体"/>
          <w:b/>
          <w:sz w:val="28"/>
          <w:szCs w:val="28"/>
        </w:rPr>
      </w:pPr>
    </w:p>
    <w:p w14:paraId="5C08CDF4">
      <w:pPr>
        <w:tabs>
          <w:tab w:val="left" w:pos="720"/>
        </w:tabs>
        <w:spacing w:line="360" w:lineRule="auto"/>
        <w:ind w:firstLine="3935" w:firstLineChars="1400"/>
        <w:rPr>
          <w:rFonts w:ascii="宋体" w:hAnsi="宋体" w:cs="宋体"/>
          <w:b/>
          <w:sz w:val="28"/>
          <w:szCs w:val="28"/>
        </w:rPr>
      </w:pPr>
      <w:r>
        <w:rPr>
          <w:rFonts w:hint="eastAsia" w:ascii="宋体" w:hAnsi="宋体" w:cs="宋体"/>
          <w:b/>
          <w:sz w:val="28"/>
          <w:szCs w:val="28"/>
        </w:rPr>
        <w:t>汕头市政府采购</w:t>
      </w:r>
    </w:p>
    <w:p w14:paraId="424F1DF2">
      <w:pPr>
        <w:tabs>
          <w:tab w:val="left" w:pos="720"/>
        </w:tabs>
        <w:spacing w:line="360" w:lineRule="auto"/>
        <w:rPr>
          <w:rFonts w:ascii="宋体" w:hAnsi="宋体" w:cs="宋体"/>
          <w:b/>
          <w:sz w:val="28"/>
          <w:szCs w:val="28"/>
        </w:rPr>
      </w:pPr>
    </w:p>
    <w:p w14:paraId="29BAE70C">
      <w:pPr>
        <w:tabs>
          <w:tab w:val="left" w:pos="720"/>
        </w:tabs>
        <w:spacing w:line="360" w:lineRule="auto"/>
        <w:jc w:val="center"/>
        <w:rPr>
          <w:rFonts w:ascii="宋体" w:hAnsi="宋体" w:cs="宋体"/>
          <w:b/>
          <w:sz w:val="28"/>
          <w:szCs w:val="28"/>
        </w:rPr>
      </w:pPr>
      <w:r>
        <w:rPr>
          <w:rFonts w:hint="eastAsia" w:ascii="宋体" w:hAnsi="宋体" w:cs="宋体"/>
          <w:b/>
          <w:sz w:val="28"/>
          <w:szCs w:val="28"/>
        </w:rPr>
        <w:t>合 同 书</w:t>
      </w:r>
    </w:p>
    <w:p w14:paraId="1877D810">
      <w:pPr>
        <w:tabs>
          <w:tab w:val="left" w:pos="720"/>
        </w:tabs>
        <w:spacing w:line="360" w:lineRule="auto"/>
        <w:rPr>
          <w:rFonts w:ascii="宋体" w:hAnsi="宋体" w:cs="宋体"/>
          <w:b/>
          <w:sz w:val="28"/>
          <w:szCs w:val="28"/>
        </w:rPr>
      </w:pPr>
    </w:p>
    <w:tbl>
      <w:tblPr>
        <w:tblStyle w:val="13"/>
        <w:tblW w:w="5400" w:type="dxa"/>
        <w:jc w:val="center"/>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
      <w:tblGrid>
        <w:gridCol w:w="5400"/>
      </w:tblGrid>
      <w:tr w14:paraId="30A0A46B">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446" w:hRule="atLeast"/>
          <w:jc w:val="center"/>
        </w:trPr>
        <w:tc>
          <w:tcPr>
            <w:tcW w:w="5400" w:type="dxa"/>
          </w:tcPr>
          <w:p w14:paraId="743B0DBC">
            <w:pPr>
              <w:tabs>
                <w:tab w:val="left" w:pos="720"/>
              </w:tabs>
              <w:spacing w:line="360" w:lineRule="auto"/>
              <w:rPr>
                <w:rFonts w:ascii="宋体" w:hAnsi="宋体" w:cs="宋体"/>
                <w:b/>
                <w:sz w:val="28"/>
                <w:szCs w:val="28"/>
                <w:u w:val="single"/>
              </w:rPr>
            </w:pPr>
            <w:r>
              <w:rPr>
                <w:rFonts w:hint="eastAsia" w:ascii="宋体" w:hAnsi="宋体" w:cs="宋体"/>
                <w:b/>
                <w:sz w:val="28"/>
                <w:szCs w:val="28"/>
              </w:rPr>
              <w:t>采购编号：</w:t>
            </w:r>
          </w:p>
        </w:tc>
      </w:tr>
      <w:tr w14:paraId="4CED9AD5">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446" w:hRule="atLeast"/>
          <w:jc w:val="center"/>
        </w:trPr>
        <w:tc>
          <w:tcPr>
            <w:tcW w:w="5400" w:type="dxa"/>
          </w:tcPr>
          <w:p w14:paraId="7BBB2D0A">
            <w:pPr>
              <w:tabs>
                <w:tab w:val="left" w:pos="720"/>
              </w:tabs>
              <w:spacing w:line="360" w:lineRule="auto"/>
              <w:rPr>
                <w:rFonts w:ascii="宋体" w:hAnsi="宋体" w:cs="宋体"/>
                <w:b/>
                <w:sz w:val="28"/>
                <w:szCs w:val="28"/>
                <w:u w:val="single"/>
              </w:rPr>
            </w:pPr>
          </w:p>
        </w:tc>
      </w:tr>
      <w:tr w14:paraId="78AF3E43">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446" w:hRule="atLeast"/>
          <w:jc w:val="center"/>
        </w:trPr>
        <w:tc>
          <w:tcPr>
            <w:tcW w:w="5400" w:type="dxa"/>
          </w:tcPr>
          <w:p w14:paraId="1A1C62E4">
            <w:pPr>
              <w:tabs>
                <w:tab w:val="left" w:pos="720"/>
              </w:tabs>
              <w:spacing w:line="360" w:lineRule="auto"/>
              <w:rPr>
                <w:rFonts w:ascii="宋体" w:hAnsi="宋体" w:cs="宋体"/>
                <w:b/>
                <w:sz w:val="28"/>
                <w:szCs w:val="28"/>
              </w:rPr>
            </w:pPr>
            <w:r>
              <w:rPr>
                <w:rFonts w:hint="eastAsia" w:ascii="宋体" w:hAnsi="宋体" w:cs="宋体"/>
                <w:b/>
                <w:sz w:val="28"/>
                <w:szCs w:val="28"/>
              </w:rPr>
              <w:t>项目名称：</w:t>
            </w:r>
          </w:p>
        </w:tc>
      </w:tr>
      <w:tr w14:paraId="6F490FCC">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460" w:hRule="atLeast"/>
          <w:jc w:val="center"/>
        </w:trPr>
        <w:tc>
          <w:tcPr>
            <w:tcW w:w="5400" w:type="dxa"/>
          </w:tcPr>
          <w:p w14:paraId="0A339760">
            <w:pPr>
              <w:tabs>
                <w:tab w:val="left" w:pos="720"/>
              </w:tabs>
              <w:spacing w:line="360" w:lineRule="auto"/>
              <w:rPr>
                <w:rFonts w:ascii="宋体" w:hAnsi="宋体" w:cs="宋体"/>
                <w:b/>
                <w:sz w:val="28"/>
                <w:szCs w:val="28"/>
              </w:rPr>
            </w:pPr>
          </w:p>
        </w:tc>
      </w:tr>
    </w:tbl>
    <w:p w14:paraId="5E56A8E8">
      <w:pPr>
        <w:spacing w:line="360" w:lineRule="auto"/>
        <w:rPr>
          <w:rFonts w:ascii="宋体" w:hAnsi="宋体" w:cs="宋体"/>
          <w:sz w:val="28"/>
          <w:szCs w:val="28"/>
        </w:rPr>
      </w:pPr>
    </w:p>
    <w:p w14:paraId="4101801A">
      <w:pPr>
        <w:tabs>
          <w:tab w:val="left" w:pos="720"/>
        </w:tabs>
        <w:spacing w:line="360" w:lineRule="auto"/>
        <w:rPr>
          <w:rFonts w:ascii="宋体" w:hAnsi="宋体" w:cs="宋体"/>
          <w:b/>
          <w:sz w:val="28"/>
          <w:szCs w:val="28"/>
        </w:rPr>
      </w:pPr>
    </w:p>
    <w:p w14:paraId="23E734C9">
      <w:pPr>
        <w:tabs>
          <w:tab w:val="left" w:pos="720"/>
        </w:tabs>
        <w:spacing w:line="360" w:lineRule="auto"/>
        <w:rPr>
          <w:rFonts w:ascii="宋体" w:hAnsi="宋体" w:cs="宋体"/>
          <w:b/>
          <w:sz w:val="28"/>
          <w:szCs w:val="28"/>
        </w:rPr>
      </w:pPr>
    </w:p>
    <w:p w14:paraId="73B8FD57">
      <w:pPr>
        <w:tabs>
          <w:tab w:val="left" w:pos="720"/>
        </w:tabs>
        <w:spacing w:line="360" w:lineRule="auto"/>
        <w:rPr>
          <w:rFonts w:ascii="宋体" w:hAnsi="宋体" w:cs="宋体"/>
          <w:b/>
          <w:sz w:val="28"/>
          <w:szCs w:val="28"/>
        </w:rPr>
      </w:pPr>
    </w:p>
    <w:p w14:paraId="08907EF5">
      <w:pPr>
        <w:tabs>
          <w:tab w:val="left" w:pos="720"/>
        </w:tabs>
        <w:spacing w:line="360" w:lineRule="auto"/>
        <w:rPr>
          <w:rFonts w:ascii="宋体" w:hAnsi="宋体" w:cs="宋体"/>
          <w:b/>
          <w:sz w:val="28"/>
          <w:szCs w:val="28"/>
        </w:rPr>
      </w:pPr>
    </w:p>
    <w:p w14:paraId="232D14A4">
      <w:pPr>
        <w:spacing w:line="360" w:lineRule="auto"/>
        <w:rPr>
          <w:rFonts w:ascii="宋体" w:hAnsi="宋体" w:cs="宋体"/>
          <w:b/>
        </w:rPr>
      </w:pPr>
      <w:r>
        <w:rPr>
          <w:rFonts w:hint="eastAsia" w:ascii="宋体" w:hAnsi="宋体" w:cs="宋体"/>
          <w:b/>
        </w:rPr>
        <w:t>注：本合同仅为合同的参考文本，主要条款作为磋商文件的组成部份，作为双方签订合同的主要框架，为阐明各方的权利和义务，合同签订双方可根据项目的具体要求进行修订，但不得与磋商文件、响应文件的实质性内容相背离。</w:t>
      </w:r>
    </w:p>
    <w:p w14:paraId="745D5BAC">
      <w:pPr>
        <w:spacing w:line="360" w:lineRule="auto"/>
        <w:rPr>
          <w:rFonts w:hint="default"/>
          <w:u w:val="single"/>
          <w:lang w:val="en-US" w:eastAsia="zh-CN"/>
        </w:rPr>
      </w:pPr>
      <w:r>
        <w:rPr>
          <w:rFonts w:hint="eastAsia"/>
          <w:lang w:eastAsia="zh-CN"/>
        </w:rPr>
        <w:t>甲方（采购方）</w:t>
      </w:r>
      <w:r>
        <w:rPr>
          <w:rFonts w:hint="eastAsia"/>
          <w:u w:val="single"/>
          <w:lang w:val="en-US" w:eastAsia="zh-CN"/>
        </w:rPr>
        <w:t xml:space="preserve">                               </w:t>
      </w:r>
    </w:p>
    <w:p w14:paraId="093B4F5E">
      <w:pPr>
        <w:pStyle w:val="17"/>
        <w:spacing w:line="360" w:lineRule="auto"/>
        <w:ind w:left="0" w:leftChars="0" w:firstLine="0" w:firstLineChars="0"/>
        <w:rPr>
          <w:rFonts w:hint="default"/>
          <w:u w:val="single"/>
          <w:lang w:val="en-US" w:eastAsia="zh-CN"/>
        </w:rPr>
      </w:pPr>
      <w:r>
        <w:rPr>
          <w:rFonts w:hint="eastAsia"/>
          <w:lang w:eastAsia="zh-CN"/>
        </w:rPr>
        <w:t>乙方（承包方）</w:t>
      </w:r>
      <w:r>
        <w:rPr>
          <w:rFonts w:hint="eastAsia"/>
          <w:u w:val="single"/>
          <w:lang w:val="en-US" w:eastAsia="zh-CN"/>
        </w:rPr>
        <w:t xml:space="preserve">                               </w:t>
      </w:r>
    </w:p>
    <w:p w14:paraId="23ED54CD">
      <w:pPr>
        <w:keepNext w:val="0"/>
        <w:keepLines w:val="0"/>
        <w:pageBreakBefore w:val="0"/>
        <w:kinsoku/>
        <w:overflowPunct/>
        <w:topLinePunct w:val="0"/>
        <w:bidi w:val="0"/>
        <w:snapToGrid w:val="0"/>
        <w:spacing w:line="360" w:lineRule="auto"/>
        <w:ind w:firstLine="420" w:firstLineChars="200"/>
        <w:textAlignment w:val="auto"/>
        <w:rPr>
          <w:rFonts w:hint="eastAsia"/>
        </w:rPr>
      </w:pPr>
    </w:p>
    <w:p w14:paraId="7DD51001">
      <w:pPr>
        <w:keepNext w:val="0"/>
        <w:keepLines w:val="0"/>
        <w:pageBreakBefore w:val="0"/>
        <w:kinsoku/>
        <w:overflowPunct/>
        <w:topLinePunct w:val="0"/>
        <w:bidi w:val="0"/>
        <w:snapToGrid w:val="0"/>
        <w:spacing w:line="360" w:lineRule="auto"/>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根据</w:t>
      </w:r>
      <w:r>
        <w:rPr>
          <w:rFonts w:hint="eastAsia" w:asciiTheme="majorEastAsia" w:hAnsiTheme="majorEastAsia" w:eastAsiaTheme="majorEastAsia" w:cstheme="majorEastAsia"/>
          <w:lang w:eastAsia="zh-CN"/>
        </w:rPr>
        <w:t>南澳县博物馆消防维护修理及监控设备合并扩容项目（项目编号：GDQSST2024JC12002S</w:t>
      </w:r>
      <w:r>
        <w:rPr>
          <w:rFonts w:hint="eastAsia" w:asciiTheme="majorEastAsia" w:hAnsiTheme="majorEastAsia" w:eastAsiaTheme="majorEastAsia" w:cstheme="majorEastAsia"/>
        </w:rPr>
        <w:t>）的采购结果，依照《中华人民共和国</w:t>
      </w:r>
      <w:r>
        <w:rPr>
          <w:rFonts w:hint="eastAsia" w:asciiTheme="majorEastAsia" w:hAnsiTheme="majorEastAsia" w:eastAsiaTheme="majorEastAsia" w:cstheme="majorEastAsia"/>
          <w:lang w:val="en-US" w:eastAsia="zh-CN"/>
        </w:rPr>
        <w:t>民法典</w:t>
      </w:r>
      <w:r>
        <w:rPr>
          <w:rFonts w:hint="eastAsia" w:asciiTheme="majorEastAsia" w:hAnsiTheme="majorEastAsia" w:eastAsiaTheme="majorEastAsia" w:cstheme="majorEastAsia"/>
        </w:rPr>
        <w:t>》、按照《中华人民共和国政府采购法》及其他有关法律法规，遵循平等、自愿、公平和诚实信用的原则，合同双方当事人就合同工程施工有关事项达成一致意见，订立本合同。</w:t>
      </w:r>
    </w:p>
    <w:p w14:paraId="02D4AA2F">
      <w:pPr>
        <w:keepNext w:val="0"/>
        <w:keepLines w:val="0"/>
        <w:pageBreakBefore w:val="0"/>
        <w:widowControl w:val="0"/>
        <w:kinsoku/>
        <w:wordWrap/>
        <w:overflowPunct/>
        <w:topLinePunct w:val="0"/>
        <w:bidi w:val="0"/>
        <w:snapToGrid w:val="0"/>
        <w:spacing w:line="360" w:lineRule="auto"/>
        <w:ind w:firstLine="422" w:firstLineChars="200"/>
        <w:textAlignment w:val="auto"/>
        <w:rPr>
          <w:rFonts w:ascii="宋体" w:hAnsi="宋体" w:cs="宋体"/>
          <w:b/>
          <w:color w:val="auto"/>
          <w:highlight w:val="none"/>
        </w:rPr>
      </w:pPr>
      <w:r>
        <w:rPr>
          <w:rFonts w:hint="eastAsia" w:ascii="宋体" w:hAnsi="宋体" w:cs="宋体"/>
          <w:b/>
          <w:color w:val="auto"/>
          <w:highlight w:val="none"/>
        </w:rPr>
        <w:t>第一条  工程项目</w:t>
      </w:r>
    </w:p>
    <w:p w14:paraId="667073DF">
      <w:pPr>
        <w:keepNext w:val="0"/>
        <w:keepLines w:val="0"/>
        <w:pageBreakBefore w:val="0"/>
        <w:widowControl w:val="0"/>
        <w:kinsoku/>
        <w:wordWrap/>
        <w:overflowPunct/>
        <w:topLinePunct w:val="0"/>
        <w:bidi w:val="0"/>
        <w:snapToGrid w:val="0"/>
        <w:spacing w:line="360" w:lineRule="auto"/>
        <w:ind w:firstLine="420" w:firstLineChars="200"/>
        <w:textAlignment w:val="auto"/>
        <w:rPr>
          <w:rFonts w:hint="eastAsia" w:ascii="宋体" w:hAnsi="宋体" w:eastAsia="宋体" w:cs="宋体"/>
          <w:color w:val="auto"/>
          <w:highlight w:val="none"/>
          <w:u w:val="single"/>
          <w:lang w:eastAsia="zh-CN"/>
        </w:rPr>
      </w:pPr>
      <w:r>
        <w:rPr>
          <w:rFonts w:hint="eastAsia" w:ascii="宋体" w:hAnsi="宋体" w:cs="宋体"/>
          <w:color w:val="auto"/>
          <w:highlight w:val="none"/>
        </w:rPr>
        <w:t>（一）工程名称：</w:t>
      </w:r>
      <w:r>
        <w:rPr>
          <w:rFonts w:hint="eastAsia" w:ascii="宋体" w:hAnsi="宋体" w:cs="宋体"/>
          <w:color w:val="auto"/>
          <w:highlight w:val="none"/>
          <w:u w:val="single"/>
          <w:lang w:eastAsia="zh-CN"/>
        </w:rPr>
        <w:t>南澳县博物馆消防维护修理及监控设备合并扩容项目</w:t>
      </w:r>
    </w:p>
    <w:p w14:paraId="50CD3C3A">
      <w:pPr>
        <w:keepNext w:val="0"/>
        <w:keepLines w:val="0"/>
        <w:pageBreakBefore w:val="0"/>
        <w:widowControl w:val="0"/>
        <w:kinsoku/>
        <w:wordWrap/>
        <w:overflowPunct/>
        <w:topLinePunct w:val="0"/>
        <w:bidi w:val="0"/>
        <w:snapToGrid w:val="0"/>
        <w:spacing w:line="360" w:lineRule="auto"/>
        <w:ind w:firstLine="420" w:firstLineChars="200"/>
        <w:textAlignment w:val="auto"/>
        <w:rPr>
          <w:rFonts w:ascii="宋体" w:hAnsi="宋体" w:cs="宋体"/>
          <w:color w:val="auto"/>
          <w:highlight w:val="none"/>
          <w:u w:val="single"/>
        </w:rPr>
      </w:pPr>
      <w:r>
        <w:rPr>
          <w:rFonts w:hint="eastAsia" w:ascii="宋体" w:hAnsi="宋体" w:cs="宋体"/>
          <w:color w:val="auto"/>
          <w:highlight w:val="none"/>
        </w:rPr>
        <w:t>（二）工程地址：</w:t>
      </w:r>
      <w:r>
        <w:rPr>
          <w:rFonts w:hint="eastAsia" w:ascii="宋体" w:hAnsi="宋体" w:cs="宋体"/>
          <w:color w:val="auto"/>
          <w:highlight w:val="none"/>
          <w:u w:val="single"/>
        </w:rPr>
        <w:t xml:space="preserve">采购人指定地点          </w:t>
      </w:r>
    </w:p>
    <w:p w14:paraId="1A284D50">
      <w:pPr>
        <w:keepNext w:val="0"/>
        <w:keepLines w:val="0"/>
        <w:pageBreakBefore w:val="0"/>
        <w:widowControl w:val="0"/>
        <w:kinsoku/>
        <w:wordWrap/>
        <w:overflowPunct/>
        <w:topLinePunct w:val="0"/>
        <w:bidi w:val="0"/>
        <w:snapToGrid w:val="0"/>
        <w:spacing w:line="360" w:lineRule="auto"/>
        <w:ind w:firstLine="420" w:firstLineChars="200"/>
        <w:textAlignment w:val="auto"/>
        <w:rPr>
          <w:rFonts w:ascii="宋体" w:hAnsi="宋体" w:cs="宋体"/>
          <w:color w:val="auto"/>
          <w:highlight w:val="none"/>
          <w:u w:val="single"/>
        </w:rPr>
      </w:pPr>
      <w:r>
        <w:rPr>
          <w:rFonts w:hint="eastAsia" w:ascii="宋体" w:hAnsi="宋体" w:cs="宋体"/>
          <w:color w:val="auto"/>
          <w:highlight w:val="none"/>
        </w:rPr>
        <w:t>（三）工程内容：</w:t>
      </w:r>
      <w:r>
        <w:rPr>
          <w:rFonts w:hint="eastAsia" w:ascii="宋体" w:hAnsi="宋体" w:cs="宋体"/>
          <w:color w:val="auto"/>
          <w:highlight w:val="none"/>
          <w:u w:val="single"/>
        </w:rPr>
        <w:t xml:space="preserve">                              </w:t>
      </w:r>
    </w:p>
    <w:p w14:paraId="20451FAA">
      <w:pPr>
        <w:keepNext w:val="0"/>
        <w:keepLines w:val="0"/>
        <w:pageBreakBefore w:val="0"/>
        <w:widowControl w:val="0"/>
        <w:kinsoku/>
        <w:wordWrap/>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（四）承包方式：包工、包料、包机械、包工期、包质量、包安全生产、包文明施工、包劳保、包竣工验收、包保修、包各项材料检验检测、包税费、包保险等的承包方式。</w:t>
      </w:r>
    </w:p>
    <w:p w14:paraId="126A2C39">
      <w:pPr>
        <w:pStyle w:val="6"/>
        <w:keepNext w:val="0"/>
        <w:keepLines w:val="0"/>
        <w:pageBreakBefore w:val="0"/>
        <w:widowControl w:val="0"/>
        <w:kinsoku/>
        <w:wordWrap/>
        <w:overflowPunct/>
        <w:topLinePunct w:val="0"/>
        <w:bidi w:val="0"/>
        <w:snapToGrid w:val="0"/>
        <w:spacing w:after="0" w:line="360" w:lineRule="auto"/>
        <w:ind w:firstLine="0" w:firstLineChars="0"/>
        <w:textAlignment w:val="auto"/>
        <w:rPr>
          <w:rFonts w:hint="default" w:ascii="宋体" w:hAnsi="宋体" w:eastAsia="宋体" w:cs="宋体"/>
          <w:highlight w:val="none"/>
          <w:lang w:val="en-US" w:eastAsia="zh-CN"/>
        </w:rPr>
      </w:pPr>
      <w:r>
        <w:rPr>
          <w:rFonts w:hint="eastAsia" w:ascii="宋体" w:hAnsi="宋体" w:cs="宋体"/>
          <w:color w:val="auto"/>
          <w:highlight w:val="none"/>
        </w:rPr>
        <w:t>合同价款采用第</w:t>
      </w:r>
      <w:r>
        <w:rPr>
          <w:rFonts w:hint="eastAsia" w:ascii="宋体" w:hAnsi="宋体" w:cs="宋体"/>
          <w:color w:val="auto"/>
          <w:highlight w:val="none"/>
          <w:u w:val="single"/>
        </w:rPr>
        <w:t>（</w:t>
      </w:r>
      <w:r>
        <w:rPr>
          <w:rFonts w:hint="eastAsia" w:ascii="宋体" w:hAnsi="宋体" w:cs="宋体"/>
          <w:color w:val="auto"/>
          <w:highlight w:val="none"/>
          <w:u w:val="single"/>
          <w:lang w:val="en-US" w:eastAsia="zh-CN"/>
        </w:rPr>
        <w:t>2</w:t>
      </w:r>
      <w:r>
        <w:rPr>
          <w:rFonts w:hint="eastAsia" w:ascii="宋体" w:hAnsi="宋体" w:cs="宋体"/>
          <w:color w:val="auto"/>
          <w:highlight w:val="none"/>
          <w:u w:val="single"/>
        </w:rPr>
        <w:t>）</w:t>
      </w:r>
      <w:r>
        <w:rPr>
          <w:rFonts w:hint="eastAsia" w:ascii="宋体" w:hAnsi="宋体" w:cs="宋体"/>
          <w:color w:val="auto"/>
          <w:highlight w:val="none"/>
        </w:rPr>
        <w:t>种方式：</w:t>
      </w:r>
    </w:p>
    <w:p w14:paraId="78B4FCF9">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（1）固定总价包干：按成交确定的总价承包工程，明确承包内容和工程量，承包价固定不变。</w:t>
      </w:r>
    </w:p>
    <w:p w14:paraId="2819D13C">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（2）</w:t>
      </w:r>
      <w:r>
        <w:rPr>
          <w:rFonts w:hint="eastAsia" w:asciiTheme="majorEastAsia" w:hAnsiTheme="majorEastAsia" w:eastAsiaTheme="majorEastAsia" w:cstheme="majorEastAsia"/>
          <w:highlight w:val="none"/>
          <w:lang w:eastAsia="zh-CN"/>
        </w:rPr>
        <w:t>综合</w:t>
      </w:r>
      <w:r>
        <w:rPr>
          <w:rFonts w:hint="eastAsia" w:asciiTheme="majorEastAsia" w:hAnsiTheme="majorEastAsia" w:eastAsiaTheme="majorEastAsia" w:cstheme="majorEastAsia"/>
          <w:highlight w:val="none"/>
        </w:rPr>
        <w:t>单价包干：根据成交确定的综合单价，工程量按实结算。</w:t>
      </w:r>
    </w:p>
    <w:p w14:paraId="03AF71CF">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（五）安装要求：</w:t>
      </w:r>
      <w:r>
        <w:rPr>
          <w:rFonts w:hint="eastAsia" w:asciiTheme="majorEastAsia" w:hAnsiTheme="majorEastAsia" w:eastAsiaTheme="majorEastAsia" w:cstheme="majorEastAsia"/>
          <w:highlight w:val="none"/>
          <w:u w:val="single"/>
        </w:rPr>
        <w:t xml:space="preserve">   按现行         规范施工并验收。      </w:t>
      </w:r>
    </w:p>
    <w:p w14:paraId="23153052">
      <w:pPr>
        <w:keepNext w:val="0"/>
        <w:keepLines w:val="0"/>
        <w:pageBreakBefore w:val="0"/>
        <w:kinsoku/>
        <w:overflowPunct/>
        <w:topLinePunct w:val="0"/>
        <w:bidi w:val="0"/>
        <w:snapToGrid w:val="0"/>
        <w:spacing w:line="360" w:lineRule="auto"/>
        <w:ind w:firstLine="422"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b/>
          <w:highlight w:val="none"/>
        </w:rPr>
        <w:t>第二条  合同价款</w:t>
      </w:r>
    </w:p>
    <w:p w14:paraId="032A44B6">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合同总价（人民币）大写：</w:t>
      </w:r>
      <w:r>
        <w:rPr>
          <w:rFonts w:hint="eastAsia" w:asciiTheme="majorEastAsia" w:hAnsiTheme="majorEastAsia" w:eastAsiaTheme="majorEastAsia" w:cstheme="majorEastAsia"/>
          <w:highlight w:val="none"/>
          <w:u w:val="single"/>
        </w:rPr>
        <w:t xml:space="preserve">                            </w:t>
      </w:r>
      <w:r>
        <w:rPr>
          <w:rFonts w:hint="eastAsia" w:asciiTheme="majorEastAsia" w:hAnsiTheme="majorEastAsia" w:eastAsiaTheme="majorEastAsia" w:cstheme="majorEastAsia"/>
          <w:highlight w:val="none"/>
        </w:rPr>
        <w:t>小写：</w:t>
      </w:r>
      <w:r>
        <w:rPr>
          <w:rFonts w:hint="eastAsia" w:asciiTheme="majorEastAsia" w:hAnsiTheme="majorEastAsia" w:eastAsiaTheme="majorEastAsia" w:cstheme="majorEastAsia"/>
          <w:highlight w:val="none"/>
          <w:u w:val="single"/>
        </w:rPr>
        <w:t xml:space="preserve">                   </w:t>
      </w:r>
      <w:r>
        <w:rPr>
          <w:rFonts w:hint="eastAsia" w:asciiTheme="majorEastAsia" w:hAnsiTheme="majorEastAsia" w:eastAsiaTheme="majorEastAsia" w:cstheme="majorEastAsia"/>
          <w:highlight w:val="none"/>
        </w:rPr>
        <w:t>。</w:t>
      </w:r>
    </w:p>
    <w:p w14:paraId="58286487">
      <w:pPr>
        <w:pStyle w:val="11"/>
        <w:keepNext w:val="0"/>
        <w:keepLines w:val="0"/>
        <w:pageBreakBefore w:val="0"/>
        <w:kinsoku/>
        <w:overflowPunct/>
        <w:topLinePunct w:val="0"/>
        <w:bidi w:val="0"/>
        <w:snapToGrid w:val="0"/>
        <w:spacing w:before="0" w:beforeAutospacing="0" w:after="0" w:afterAutospacing="0" w:line="360" w:lineRule="auto"/>
        <w:ind w:firstLine="420" w:firstLineChars="200"/>
        <w:textAlignment w:val="auto"/>
        <w:rPr>
          <w:rFonts w:cs="宋体"/>
          <w:b/>
          <w:color w:val="auto"/>
          <w:sz w:val="21"/>
          <w:szCs w:val="21"/>
          <w:highlight w:val="none"/>
        </w:rPr>
      </w:pPr>
      <w:r>
        <w:rPr>
          <w:rFonts w:hint="eastAsia" w:cs="宋体"/>
          <w:color w:val="auto"/>
          <w:sz w:val="21"/>
          <w:szCs w:val="21"/>
          <w:highlight w:val="none"/>
        </w:rPr>
        <w:t>最终工程价款的结算须以</w:t>
      </w:r>
      <w:r>
        <w:rPr>
          <w:rFonts w:hint="eastAsia" w:cs="宋体"/>
          <w:color w:val="auto"/>
          <w:sz w:val="21"/>
          <w:szCs w:val="21"/>
          <w:highlight w:val="none"/>
          <w:lang w:val="en-US" w:eastAsia="zh-CN"/>
        </w:rPr>
        <w:t>财政部门结算</w:t>
      </w:r>
      <w:r>
        <w:rPr>
          <w:rFonts w:hint="eastAsia" w:cs="宋体"/>
          <w:color w:val="auto"/>
          <w:sz w:val="21"/>
          <w:szCs w:val="21"/>
          <w:highlight w:val="none"/>
        </w:rPr>
        <w:t>审定</w:t>
      </w:r>
      <w:r>
        <w:rPr>
          <w:rFonts w:hint="eastAsia" w:cs="宋体"/>
          <w:color w:val="auto"/>
          <w:sz w:val="21"/>
          <w:szCs w:val="21"/>
          <w:highlight w:val="none"/>
          <w:lang w:val="en-US" w:eastAsia="zh-CN"/>
        </w:rPr>
        <w:t>价</w:t>
      </w:r>
      <w:r>
        <w:rPr>
          <w:rFonts w:hint="eastAsia" w:cs="宋体"/>
          <w:color w:val="auto"/>
          <w:sz w:val="21"/>
          <w:szCs w:val="21"/>
          <w:highlight w:val="none"/>
        </w:rPr>
        <w:t>为准。</w:t>
      </w:r>
    </w:p>
    <w:p w14:paraId="770DE206">
      <w:pPr>
        <w:keepNext w:val="0"/>
        <w:keepLines w:val="0"/>
        <w:pageBreakBefore w:val="0"/>
        <w:kinsoku/>
        <w:overflowPunct/>
        <w:topLinePunct w:val="0"/>
        <w:bidi w:val="0"/>
        <w:snapToGrid w:val="0"/>
        <w:spacing w:line="360" w:lineRule="auto"/>
        <w:ind w:firstLine="422"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b/>
          <w:highlight w:val="none"/>
        </w:rPr>
        <w:t>第三条  工期</w:t>
      </w:r>
      <w:r>
        <w:rPr>
          <w:rFonts w:hint="eastAsia" w:asciiTheme="majorEastAsia" w:hAnsiTheme="majorEastAsia" w:eastAsiaTheme="majorEastAsia" w:cstheme="majorEastAsia"/>
          <w:highlight w:val="none"/>
        </w:rPr>
        <w:t xml:space="preserve">  </w:t>
      </w:r>
    </w:p>
    <w:p w14:paraId="3148AFE4">
      <w:pPr>
        <w:keepNext w:val="0"/>
        <w:keepLines w:val="0"/>
        <w:pageBreakBefore w:val="0"/>
        <w:kinsoku/>
        <w:overflowPunct/>
        <w:topLinePunct w:val="0"/>
        <w:bidi w:val="0"/>
        <w:snapToGrid w:val="0"/>
        <w:spacing w:line="360" w:lineRule="auto"/>
        <w:ind w:firstLine="420" w:firstLineChars="200"/>
        <w:textAlignment w:val="auto"/>
        <w:rPr>
          <w:rFonts w:hint="default" w:ascii="宋体" w:hAnsi="宋体" w:cs="宋体"/>
          <w:color w:val="auto"/>
          <w:kern w:val="2"/>
          <w:highlight w:val="none"/>
          <w:lang w:val="en-US" w:eastAsia="zh-CN"/>
        </w:rPr>
      </w:pPr>
      <w:r>
        <w:rPr>
          <w:rFonts w:hint="eastAsia" w:ascii="宋体" w:hAnsi="宋体" w:cs="宋体"/>
          <w:color w:val="auto"/>
          <w:kern w:val="2"/>
          <w:highlight w:val="none"/>
          <w:lang w:val="en-US" w:eastAsia="zh-CN"/>
        </w:rPr>
        <w:t>工期为30个日历天，开工日期以监理单位开具的开工令为准。</w:t>
      </w:r>
    </w:p>
    <w:p w14:paraId="7042938A">
      <w:pPr>
        <w:keepNext w:val="0"/>
        <w:keepLines w:val="0"/>
        <w:pageBreakBefore w:val="0"/>
        <w:kinsoku/>
        <w:overflowPunct/>
        <w:topLinePunct w:val="0"/>
        <w:bidi w:val="0"/>
        <w:snapToGrid w:val="0"/>
        <w:spacing w:line="360" w:lineRule="auto"/>
        <w:ind w:firstLine="422" w:firstLineChars="200"/>
        <w:textAlignment w:val="auto"/>
        <w:rPr>
          <w:rFonts w:asciiTheme="majorEastAsia" w:hAnsiTheme="majorEastAsia" w:eastAsiaTheme="majorEastAsia" w:cstheme="majorEastAsia"/>
          <w:b/>
          <w:highlight w:val="none"/>
        </w:rPr>
      </w:pPr>
      <w:r>
        <w:rPr>
          <w:rFonts w:hint="eastAsia" w:asciiTheme="majorEastAsia" w:hAnsiTheme="majorEastAsia" w:eastAsiaTheme="majorEastAsia" w:cstheme="majorEastAsia"/>
          <w:b/>
          <w:highlight w:val="none"/>
        </w:rPr>
        <w:t>第四条  工程质量标准和保修期</w:t>
      </w:r>
    </w:p>
    <w:p w14:paraId="47F2B3DF">
      <w:pPr>
        <w:keepNext w:val="0"/>
        <w:keepLines w:val="0"/>
        <w:pageBreakBefore w:val="0"/>
        <w:kinsoku/>
        <w:overflowPunct/>
        <w:topLinePunct w:val="0"/>
        <w:bidi w:val="0"/>
        <w:snapToGrid w:val="0"/>
        <w:spacing w:line="360" w:lineRule="auto"/>
        <w:ind w:left="239" w:leftChars="114" w:firstLine="210" w:firstLineChars="100"/>
        <w:textAlignment w:val="auto"/>
        <w:rPr>
          <w:rFonts w:asciiTheme="majorEastAsia" w:hAnsiTheme="majorEastAsia" w:eastAsiaTheme="majorEastAsia" w:cstheme="majorEastAsia"/>
          <w:highlight w:val="none"/>
          <w:u w:val="single"/>
        </w:rPr>
      </w:pPr>
      <w:r>
        <w:rPr>
          <w:rFonts w:hint="eastAsia" w:asciiTheme="majorEastAsia" w:hAnsiTheme="majorEastAsia" w:eastAsiaTheme="majorEastAsia" w:cstheme="majorEastAsia"/>
          <w:highlight w:val="none"/>
        </w:rPr>
        <w:t>（一）工程质量标准按国家及省、市现行验收规范执行。</w:t>
      </w:r>
    </w:p>
    <w:p w14:paraId="657E07D8">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二）本工程项目按照《建设工程质量管理条例》规定，自竣工验收签字之日起计。保修期限内，在正常使用情况下，属乙方工程质量问题，由乙方负责；如属甲方使用不当或甲方所供设备的质量问题，可由乙方修理，费用由甲方承担。</w:t>
      </w:r>
    </w:p>
    <w:p w14:paraId="5C60326B">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（三）本工程自竣工之日起，在保质期内出现工程质量问题，乙方在接到甲方通知后</w:t>
      </w:r>
      <w:r>
        <w:rPr>
          <w:rFonts w:hint="eastAsia" w:asciiTheme="majorEastAsia" w:hAnsiTheme="majorEastAsia" w:eastAsiaTheme="majorEastAsia" w:cstheme="majorEastAsia"/>
          <w:highlight w:val="none"/>
          <w:u w:val="single"/>
        </w:rPr>
        <w:t xml:space="preserve">    </w:t>
      </w:r>
      <w:r>
        <w:rPr>
          <w:rFonts w:hint="eastAsia" w:asciiTheme="majorEastAsia" w:hAnsiTheme="majorEastAsia" w:eastAsiaTheme="majorEastAsia" w:cstheme="majorEastAsia"/>
          <w:highlight w:val="none"/>
        </w:rPr>
        <w:t>小时内派人维修，否则甲方可委托其他单位或人员修整，属乙方责任的，费用由乙方承担，如给甲方造成损失的，乙方需进行赔偿，非乙方责任返修费用由甲方承担。</w:t>
      </w:r>
    </w:p>
    <w:p w14:paraId="2FC1525C">
      <w:pPr>
        <w:keepNext w:val="0"/>
        <w:keepLines w:val="0"/>
        <w:pageBreakBefore w:val="0"/>
        <w:kinsoku/>
        <w:overflowPunct/>
        <w:topLinePunct w:val="0"/>
        <w:bidi w:val="0"/>
        <w:snapToGrid w:val="0"/>
        <w:spacing w:line="360" w:lineRule="auto"/>
        <w:ind w:firstLine="422" w:firstLineChars="200"/>
        <w:textAlignment w:val="auto"/>
        <w:rPr>
          <w:rFonts w:asciiTheme="majorEastAsia" w:hAnsiTheme="majorEastAsia" w:eastAsiaTheme="majorEastAsia" w:cstheme="majorEastAsia"/>
          <w:b/>
          <w:highlight w:val="none"/>
        </w:rPr>
      </w:pPr>
      <w:r>
        <w:rPr>
          <w:rFonts w:hint="eastAsia" w:asciiTheme="majorEastAsia" w:hAnsiTheme="majorEastAsia" w:eastAsiaTheme="majorEastAsia" w:cstheme="majorEastAsia"/>
          <w:b/>
          <w:highlight w:val="none"/>
        </w:rPr>
        <w:t>第五条  材料设备供应</w:t>
      </w:r>
    </w:p>
    <w:p w14:paraId="2ED0E22C">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（一）工程所需属乙方提供的材料和设备由乙方负责购进并送至施工现场。</w:t>
      </w:r>
    </w:p>
    <w:p w14:paraId="54BF74CA">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（二）材料设备需附有合格证明。如一方对材料设备有异议，需进行检验。如检验合格，检验费由持有异议一方承担，否则由材料采购方承担。工程料设备差价的处理办法不作差价调整。</w:t>
      </w:r>
    </w:p>
    <w:p w14:paraId="0CA67A13">
      <w:pPr>
        <w:keepNext w:val="0"/>
        <w:keepLines w:val="0"/>
        <w:pageBreakBefore w:val="0"/>
        <w:kinsoku/>
        <w:overflowPunct/>
        <w:topLinePunct w:val="0"/>
        <w:bidi w:val="0"/>
        <w:snapToGrid w:val="0"/>
        <w:spacing w:line="360" w:lineRule="auto"/>
        <w:ind w:firstLine="422" w:firstLineChars="200"/>
        <w:textAlignment w:val="auto"/>
        <w:rPr>
          <w:rFonts w:asciiTheme="majorEastAsia" w:hAnsiTheme="majorEastAsia" w:eastAsiaTheme="majorEastAsia" w:cstheme="majorEastAsia"/>
          <w:b/>
          <w:highlight w:val="none"/>
        </w:rPr>
      </w:pPr>
      <w:r>
        <w:rPr>
          <w:rFonts w:hint="eastAsia" w:asciiTheme="majorEastAsia" w:hAnsiTheme="majorEastAsia" w:eastAsiaTheme="majorEastAsia" w:cstheme="majorEastAsia"/>
          <w:b/>
          <w:highlight w:val="none"/>
        </w:rPr>
        <w:t>第六条</w:t>
      </w:r>
      <w:r>
        <w:rPr>
          <w:rFonts w:hint="eastAsia" w:asciiTheme="majorEastAsia" w:hAnsiTheme="majorEastAsia" w:eastAsiaTheme="majorEastAsia" w:cstheme="majorEastAsia"/>
          <w:b/>
          <w:bCs/>
          <w:highlight w:val="none"/>
        </w:rPr>
        <w:t xml:space="preserve">  </w:t>
      </w:r>
      <w:r>
        <w:rPr>
          <w:rFonts w:hint="eastAsia" w:asciiTheme="majorEastAsia" w:hAnsiTheme="majorEastAsia" w:eastAsiaTheme="majorEastAsia" w:cstheme="majorEastAsia"/>
          <w:b/>
          <w:highlight w:val="none"/>
        </w:rPr>
        <w:t>工程款支付和结算</w:t>
      </w:r>
    </w:p>
    <w:p w14:paraId="53530EB0">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eastAsia="宋体" w:cs="宋体"/>
          <w:color w:val="0000FF"/>
          <w:sz w:val="21"/>
          <w:szCs w:val="21"/>
          <w:highlight w:val="none"/>
        </w:rPr>
      </w:pPr>
      <w:r>
        <w:rPr>
          <w:rFonts w:hint="eastAsia" w:ascii="宋体" w:hAnsi="宋体" w:cs="宋体"/>
          <w:color w:val="auto"/>
          <w:highlight w:val="none"/>
        </w:rPr>
        <w:t>根据国家有关规定，甲方将工程款划入乙方账户或开具支票，乙方不得将工程款另作他用。</w:t>
      </w:r>
      <w:r>
        <w:rPr>
          <w:rFonts w:hint="eastAsia" w:ascii="宋体" w:hAnsi="宋体" w:cs="宋体"/>
          <w:color w:val="auto"/>
          <w:kern w:val="2"/>
          <w:highlight w:val="none"/>
        </w:rPr>
        <w:t>合同款支付以本项目上级专项财政资金到位的前提下</w:t>
      </w:r>
      <w:r>
        <w:rPr>
          <w:rFonts w:hint="eastAsia" w:ascii="宋体" w:hAnsi="宋体" w:cs="宋体"/>
          <w:color w:val="auto"/>
          <w:kern w:val="2"/>
          <w:highlight w:val="none"/>
          <w:lang w:eastAsia="zh-CN"/>
        </w:rPr>
        <w:t>，</w:t>
      </w:r>
      <w:r>
        <w:rPr>
          <w:rFonts w:hint="eastAsia" w:ascii="宋体" w:hAnsi="宋体" w:eastAsia="宋体" w:cs="宋体"/>
          <w:color w:val="auto"/>
          <w:sz w:val="21"/>
          <w:szCs w:val="21"/>
          <w:highlight w:val="none"/>
        </w:rPr>
        <w:t>按工程量进度支付，支付比例如下：</w:t>
      </w:r>
    </w:p>
    <w:p w14:paraId="17A034DB">
      <w:pPr>
        <w:keepNext w:val="0"/>
        <w:keepLines w:val="0"/>
        <w:pageBreakBefore w:val="0"/>
        <w:kinsoku/>
        <w:wordWrap w:val="0"/>
        <w:overflowPunct/>
        <w:topLinePunct w:val="0"/>
        <w:bidi w:val="0"/>
        <w:snapToGrid w:val="0"/>
        <w:spacing w:line="360" w:lineRule="auto"/>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rPr>
        <w:t>1、</w:t>
      </w: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w:t>
      </w:r>
    </w:p>
    <w:p w14:paraId="4CE55695">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总额为</w:t>
      </w:r>
      <w:r>
        <w:rPr>
          <w:rFonts w:hint="eastAsia" w:ascii="宋体" w:hAnsi="宋体" w:cs="宋体"/>
          <w:color w:val="auto"/>
          <w:kern w:val="0"/>
          <w:sz w:val="21"/>
          <w:szCs w:val="21"/>
          <w:highlight w:val="none"/>
          <w:u w:val="single"/>
          <w:lang w:val="en-US" w:eastAsia="zh-CN"/>
        </w:rPr>
        <w:t>10,862.96</w:t>
      </w:r>
      <w:r>
        <w:rPr>
          <w:rFonts w:hint="eastAsia" w:ascii="宋体" w:hAnsi="宋体" w:eastAsia="宋体" w:cs="宋体"/>
          <w:color w:val="auto"/>
          <w:kern w:val="0"/>
          <w:sz w:val="21"/>
          <w:szCs w:val="21"/>
          <w:highlight w:val="none"/>
        </w:rPr>
        <w:t>元。</w:t>
      </w: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的内容和范围：承包人必须按《广东省建设厅建筑工程安全防护、文明施工措施费用管理办法》（粤建管字[2007]39号）的要求，完成其“</w:t>
      </w: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所包括的项目”的内容。</w:t>
      </w: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在合同签订后支付预付款的同时，支付50%的</w:t>
      </w: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，剩余50%的</w:t>
      </w: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，在工程完成50%工程量后支付。</w:t>
      </w:r>
    </w:p>
    <w:p w14:paraId="5585CB15">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 xml:space="preserve"> 预付款：</w:t>
      </w:r>
    </w:p>
    <w:p w14:paraId="27666646">
      <w:pPr>
        <w:keepNext w:val="0"/>
        <w:keepLines w:val="0"/>
        <w:pageBreakBefore w:val="0"/>
        <w:widowControl/>
        <w:kinsoku/>
        <w:overflowPunct/>
        <w:topLinePunct w:val="0"/>
        <w:bidi w:val="0"/>
        <w:snapToGrid w:val="0"/>
        <w:spacing w:line="360" w:lineRule="auto"/>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rPr>
        <w:t>预付款的额度和预付办法：</w:t>
      </w:r>
      <w:r>
        <w:rPr>
          <w:rFonts w:hint="eastAsia" w:ascii="宋体" w:hAnsi="宋体" w:eastAsia="宋体" w:cs="宋体"/>
          <w:color w:val="auto"/>
          <w:kern w:val="0"/>
          <w:sz w:val="21"/>
          <w:szCs w:val="21"/>
          <w:highlight w:val="none"/>
          <w:u w:val="single"/>
        </w:rPr>
        <w:t>预付款的额度按（合同价款-绿色施工安全防护措施费）×30%，合同签订后10天内</w:t>
      </w:r>
      <w:r>
        <w:rPr>
          <w:rFonts w:hint="eastAsia" w:ascii="宋体" w:hAnsi="宋体" w:eastAsia="宋体" w:cs="宋体"/>
          <w:color w:val="auto"/>
          <w:kern w:val="0"/>
          <w:sz w:val="21"/>
          <w:szCs w:val="21"/>
          <w:highlight w:val="none"/>
        </w:rPr>
        <w:t>。</w:t>
      </w:r>
    </w:p>
    <w:p w14:paraId="5E4DBFA4">
      <w:pPr>
        <w:keepNext w:val="0"/>
        <w:keepLines w:val="0"/>
        <w:pageBreakBefore w:val="0"/>
        <w:widowControl/>
        <w:kinsoku/>
        <w:overflowPunct/>
        <w:topLinePunct w:val="0"/>
        <w:bidi w:val="0"/>
        <w:snapToGrid w:val="0"/>
        <w:spacing w:line="360" w:lineRule="auto"/>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预付款的扣回：</w:t>
      </w:r>
      <w:r>
        <w:rPr>
          <w:rFonts w:hint="eastAsia" w:ascii="宋体" w:hAnsi="宋体" w:eastAsia="宋体" w:cs="宋体"/>
          <w:color w:val="auto"/>
          <w:kern w:val="0"/>
          <w:sz w:val="21"/>
          <w:szCs w:val="21"/>
          <w:highlight w:val="none"/>
          <w:u w:val="single"/>
        </w:rPr>
        <w:t>不扣回</w:t>
      </w:r>
      <w:r>
        <w:rPr>
          <w:rFonts w:hint="eastAsia" w:ascii="宋体" w:hAnsi="宋体" w:eastAsia="宋体" w:cs="宋体"/>
          <w:color w:val="auto"/>
          <w:kern w:val="0"/>
          <w:sz w:val="21"/>
          <w:szCs w:val="21"/>
          <w:highlight w:val="none"/>
        </w:rPr>
        <w:t>。</w:t>
      </w:r>
    </w:p>
    <w:p w14:paraId="3B3D3BF3">
      <w:pPr>
        <w:keepNext w:val="0"/>
        <w:keepLines w:val="0"/>
        <w:pageBreakBefore w:val="0"/>
        <w:widowControl/>
        <w:kinsoku/>
        <w:overflowPunct/>
        <w:topLinePunct w:val="0"/>
        <w:bidi w:val="0"/>
        <w:snapToGrid w:val="0"/>
        <w:spacing w:line="360" w:lineRule="auto"/>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工程进度款付款：</w:t>
      </w:r>
    </w:p>
    <w:p w14:paraId="0AFE0AFF">
      <w:pPr>
        <w:pStyle w:val="6"/>
        <w:keepNext w:val="0"/>
        <w:keepLines w:val="0"/>
        <w:pageBreakBefore w:val="0"/>
        <w:kinsoku/>
        <w:overflowPunct/>
        <w:topLinePunct w:val="0"/>
        <w:bidi w:val="0"/>
        <w:snapToGrid w:val="0"/>
        <w:spacing w:line="360" w:lineRule="auto"/>
        <w:ind w:firstLine="420" w:firstLineChars="200"/>
        <w:textAlignment w:val="auto"/>
        <w:rPr>
          <w:rFonts w:hint="eastAsia" w:ascii="宋体" w:hAnsi="宋体" w:eastAsia="宋体" w:cs="宋体"/>
          <w:color w:val="auto"/>
          <w:kern w:val="0"/>
          <w:sz w:val="21"/>
          <w:szCs w:val="21"/>
          <w:highlight w:val="none"/>
          <w:u w:val="single"/>
        </w:rPr>
      </w:pPr>
      <w:r>
        <w:rPr>
          <w:rFonts w:hint="eastAsia" w:ascii="宋体" w:hAnsi="宋体" w:eastAsia="宋体" w:cs="宋体"/>
          <w:color w:val="auto"/>
          <w:kern w:val="0"/>
          <w:sz w:val="21"/>
          <w:szCs w:val="21"/>
          <w:highlight w:val="none"/>
          <w:u w:val="single"/>
        </w:rPr>
        <w:t>进度款计算方式：（合同价款-</w:t>
      </w:r>
      <w:r>
        <w:rPr>
          <w:rFonts w:hint="eastAsia" w:ascii="宋体" w:hAnsi="宋体" w:eastAsia="宋体" w:cs="宋体"/>
          <w:color w:val="auto"/>
          <w:kern w:val="0"/>
          <w:sz w:val="21"/>
          <w:szCs w:val="21"/>
          <w:highlight w:val="none"/>
          <w:u w:val="single"/>
          <w:lang w:eastAsia="zh-CN"/>
        </w:rPr>
        <w:t>安全生产措施费</w:t>
      </w:r>
      <w:r>
        <w:rPr>
          <w:rFonts w:hint="eastAsia" w:ascii="宋体" w:hAnsi="宋体" w:eastAsia="宋体" w:cs="宋体"/>
          <w:color w:val="auto"/>
          <w:kern w:val="0"/>
          <w:sz w:val="21"/>
          <w:szCs w:val="21"/>
          <w:highlight w:val="none"/>
          <w:u w:val="single"/>
        </w:rPr>
        <w:t>）×支付比例（%）。</w:t>
      </w:r>
    </w:p>
    <w:p w14:paraId="760FA711">
      <w:pPr>
        <w:keepNext w:val="0"/>
        <w:keepLines w:val="0"/>
        <w:pageBreakBefore w:val="0"/>
        <w:widowControl/>
        <w:kinsoku/>
        <w:overflowPunct/>
        <w:topLinePunct w:val="0"/>
        <w:bidi w:val="0"/>
        <w:snapToGrid w:val="0"/>
        <w:spacing w:line="360" w:lineRule="auto"/>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rPr>
        <w:t>工程总工程量完成</w:t>
      </w:r>
      <w:r>
        <w:rPr>
          <w:rFonts w:hint="eastAsia" w:ascii="宋体" w:hAnsi="宋体" w:eastAsia="宋体" w:cs="宋体"/>
          <w:color w:val="auto"/>
          <w:kern w:val="0"/>
          <w:sz w:val="21"/>
          <w:szCs w:val="21"/>
          <w:highlight w:val="none"/>
          <w:lang w:val="en-US" w:eastAsia="zh-CN"/>
        </w:rPr>
        <w:t>85</w:t>
      </w:r>
      <w:r>
        <w:rPr>
          <w:rFonts w:hint="eastAsia" w:ascii="宋体" w:hAnsi="宋体" w:eastAsia="宋体" w:cs="宋体"/>
          <w:color w:val="auto"/>
          <w:kern w:val="0"/>
          <w:sz w:val="21"/>
          <w:szCs w:val="21"/>
          <w:highlight w:val="none"/>
        </w:rPr>
        <w:t>%，经监理及采购人审核批准后，采</w:t>
      </w:r>
      <w:r>
        <w:rPr>
          <w:rFonts w:hint="eastAsia" w:ascii="宋体" w:hAnsi="宋体" w:eastAsia="宋体" w:cs="宋体"/>
          <w:color w:val="auto"/>
          <w:kern w:val="0"/>
          <w:sz w:val="21"/>
          <w:szCs w:val="21"/>
          <w:highlight w:val="none"/>
          <w:lang w:eastAsia="zh-CN"/>
        </w:rPr>
        <w:t>甲方</w:t>
      </w:r>
      <w:r>
        <w:rPr>
          <w:rFonts w:hint="eastAsia" w:ascii="宋体" w:hAnsi="宋体" w:eastAsia="宋体" w:cs="宋体"/>
          <w:color w:val="auto"/>
          <w:kern w:val="0"/>
          <w:sz w:val="21"/>
          <w:szCs w:val="21"/>
          <w:highlight w:val="none"/>
        </w:rPr>
        <w:t>支付合同价</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0%作为工程进度款；</w:t>
      </w:r>
    </w:p>
    <w:p w14:paraId="773315D0">
      <w:pPr>
        <w:keepNext w:val="0"/>
        <w:keepLines w:val="0"/>
        <w:pageBreakBefore w:val="0"/>
        <w:widowControl/>
        <w:kinsoku/>
        <w:overflowPunct/>
        <w:topLinePunct w:val="0"/>
        <w:bidi w:val="0"/>
        <w:snapToGrid w:val="0"/>
        <w:spacing w:line="360" w:lineRule="auto"/>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工程完工验收</w:t>
      </w:r>
      <w:r>
        <w:rPr>
          <w:rFonts w:hint="eastAsia" w:ascii="宋体" w:hAnsi="宋体" w:eastAsia="宋体" w:cs="宋体"/>
          <w:sz w:val="21"/>
          <w:szCs w:val="21"/>
        </w:rPr>
        <w:t>合格并完成财政审核</w:t>
      </w:r>
      <w:r>
        <w:rPr>
          <w:rFonts w:hint="eastAsia" w:ascii="宋体" w:hAnsi="宋体" w:eastAsia="宋体" w:cs="宋体"/>
          <w:sz w:val="21"/>
          <w:szCs w:val="21"/>
          <w:lang w:eastAsia="zh-CN"/>
        </w:rPr>
        <w:t>或有资质第三方审核</w:t>
      </w:r>
      <w:r>
        <w:rPr>
          <w:rFonts w:hint="eastAsia" w:ascii="宋体" w:hAnsi="宋体" w:eastAsia="宋体" w:cs="宋体"/>
          <w:sz w:val="21"/>
          <w:szCs w:val="21"/>
        </w:rPr>
        <w:t>定案后</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eastAsia="zh-CN"/>
        </w:rPr>
        <w:t>甲方</w:t>
      </w:r>
      <w:r>
        <w:rPr>
          <w:rFonts w:hint="eastAsia" w:ascii="宋体" w:hAnsi="宋体" w:eastAsia="宋体" w:cs="宋体"/>
          <w:color w:val="auto"/>
          <w:kern w:val="0"/>
          <w:sz w:val="21"/>
          <w:szCs w:val="21"/>
          <w:highlight w:val="none"/>
        </w:rPr>
        <w:t>支付至工程结算造价的</w:t>
      </w:r>
      <w:r>
        <w:rPr>
          <w:rFonts w:hint="eastAsia" w:ascii="宋体" w:hAnsi="宋体" w:eastAsia="宋体" w:cs="宋体"/>
          <w:color w:val="auto"/>
          <w:kern w:val="0"/>
          <w:sz w:val="21"/>
          <w:szCs w:val="21"/>
          <w:highlight w:val="none"/>
          <w:lang w:val="en-US" w:eastAsia="zh-CN"/>
        </w:rPr>
        <w:t>100</w:t>
      </w:r>
      <w:r>
        <w:rPr>
          <w:rFonts w:hint="eastAsia" w:ascii="宋体" w:hAnsi="宋体" w:eastAsia="宋体" w:cs="宋体"/>
          <w:color w:val="auto"/>
          <w:kern w:val="0"/>
          <w:sz w:val="21"/>
          <w:szCs w:val="21"/>
          <w:highlight w:val="none"/>
        </w:rPr>
        <w:t>%；</w:t>
      </w:r>
    </w:p>
    <w:p w14:paraId="1CB74C87">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结算造价的3%作为工程质量保证金（注：质量保证金形式：</w:t>
      </w:r>
      <w:r>
        <w:rPr>
          <w:rFonts w:hint="eastAsia" w:ascii="宋体" w:hAnsi="宋体" w:eastAsia="宋体" w:cs="宋体"/>
          <w:color w:val="auto"/>
          <w:kern w:val="0"/>
          <w:sz w:val="21"/>
          <w:szCs w:val="21"/>
          <w:highlight w:val="none"/>
          <w:lang w:eastAsia="zh-CN"/>
        </w:rPr>
        <w:t>保证金、</w:t>
      </w:r>
      <w:r>
        <w:rPr>
          <w:rFonts w:hint="eastAsia" w:ascii="宋体" w:hAnsi="宋体" w:eastAsia="宋体" w:cs="宋体"/>
          <w:color w:val="auto"/>
          <w:kern w:val="0"/>
          <w:sz w:val="21"/>
          <w:szCs w:val="21"/>
          <w:highlight w:val="none"/>
        </w:rPr>
        <w:t>保函或保险单；质量保证金退还：</w:t>
      </w:r>
      <w:r>
        <w:rPr>
          <w:rFonts w:hint="eastAsia" w:ascii="宋体" w:hAnsi="宋体" w:cs="宋体"/>
          <w:color w:val="auto"/>
          <w:kern w:val="0"/>
          <w:sz w:val="21"/>
          <w:szCs w:val="21"/>
          <w:highlight w:val="none"/>
          <w:lang w:eastAsia="zh-CN"/>
        </w:rPr>
        <w:t>质量保证期期限为竣工验收合格后一年，</w:t>
      </w:r>
      <w:r>
        <w:rPr>
          <w:rFonts w:hint="eastAsia" w:ascii="宋体" w:hAnsi="宋体" w:eastAsia="宋体" w:cs="宋体"/>
          <w:color w:val="auto"/>
          <w:kern w:val="0"/>
          <w:sz w:val="21"/>
          <w:szCs w:val="21"/>
          <w:highlight w:val="none"/>
        </w:rPr>
        <w:t>质保期到期后且质保期内无质量问题退还</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w:t>
      </w:r>
    </w:p>
    <w:p w14:paraId="0C5A9578">
      <w:pPr>
        <w:keepNext w:val="0"/>
        <w:keepLines w:val="0"/>
        <w:pageBreakBefore w:val="0"/>
        <w:widowControl/>
        <w:kinsoku/>
        <w:overflowPunct/>
        <w:topLinePunct w:val="0"/>
        <w:bidi w:val="0"/>
        <w:snapToGrid w:val="0"/>
        <w:spacing w:line="360" w:lineRule="auto"/>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 xml:space="preserve">进度付款证书和支付时间 </w:t>
      </w:r>
    </w:p>
    <w:p w14:paraId="596A0F2F">
      <w:pPr>
        <w:keepNext w:val="0"/>
        <w:keepLines w:val="0"/>
        <w:pageBreakBefore w:val="0"/>
        <w:widowControl/>
        <w:kinsoku/>
        <w:overflowPunct/>
        <w:topLinePunct w:val="0"/>
        <w:bidi w:val="0"/>
        <w:snapToGrid w:val="0"/>
        <w:spacing w:line="360" w:lineRule="auto"/>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发包人逾期支付进度款时违约金的计算及支付办法：</w:t>
      </w:r>
      <w:r>
        <w:rPr>
          <w:rFonts w:hint="eastAsia" w:ascii="宋体" w:hAnsi="宋体" w:eastAsia="宋体" w:cs="宋体"/>
          <w:color w:val="auto"/>
          <w:kern w:val="0"/>
          <w:sz w:val="21"/>
          <w:szCs w:val="21"/>
          <w:highlight w:val="none"/>
          <w:u w:val="single"/>
        </w:rPr>
        <w:t>不支付逾期违约金</w:t>
      </w:r>
      <w:r>
        <w:rPr>
          <w:rFonts w:hint="eastAsia" w:ascii="宋体" w:hAnsi="宋体" w:eastAsia="宋体" w:cs="宋体"/>
          <w:color w:val="auto"/>
          <w:kern w:val="0"/>
          <w:sz w:val="21"/>
          <w:szCs w:val="21"/>
          <w:highlight w:val="none"/>
        </w:rPr>
        <w:t>。</w:t>
      </w:r>
    </w:p>
    <w:p w14:paraId="1B4995EF">
      <w:pPr>
        <w:keepNext w:val="0"/>
        <w:keepLines w:val="0"/>
        <w:pageBreakBefore w:val="0"/>
        <w:kinsoku/>
        <w:overflowPunct/>
        <w:topLinePunct w:val="0"/>
        <w:bidi w:val="0"/>
        <w:adjustRightInd w:val="0"/>
        <w:snapToGrid w:val="0"/>
        <w:spacing w:line="360" w:lineRule="auto"/>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注：</w:t>
      </w:r>
      <w:r>
        <w:rPr>
          <w:rFonts w:hint="eastAsia" w:ascii="宋体" w:hAnsi="宋体" w:eastAsia="宋体" w:cs="宋体"/>
          <w:b/>
          <w:bCs/>
          <w:color w:val="auto"/>
          <w:kern w:val="0"/>
          <w:sz w:val="21"/>
          <w:szCs w:val="21"/>
          <w:highlight w:val="none"/>
        </w:rPr>
        <w:t>款项的到位时间具体以财政局集中支付的办理时间为准，承包人不得以此为由停工或拖延工期</w:t>
      </w:r>
      <w:r>
        <w:rPr>
          <w:rFonts w:hint="eastAsia" w:ascii="宋体" w:hAnsi="宋体" w:cs="宋体"/>
          <w:b/>
          <w:bCs/>
          <w:color w:val="auto"/>
          <w:kern w:val="0"/>
          <w:sz w:val="21"/>
          <w:szCs w:val="21"/>
          <w:highlight w:val="none"/>
          <w:lang w:eastAsia="zh-CN"/>
        </w:rPr>
        <w:t>或主张维权等</w:t>
      </w:r>
      <w:r>
        <w:rPr>
          <w:rFonts w:hint="eastAsia" w:ascii="宋体" w:hAnsi="宋体" w:eastAsia="宋体" w:cs="宋体"/>
          <w:color w:val="auto"/>
          <w:kern w:val="0"/>
          <w:sz w:val="21"/>
          <w:szCs w:val="21"/>
          <w:highlight w:val="none"/>
        </w:rPr>
        <w:t>。</w:t>
      </w:r>
    </w:p>
    <w:p w14:paraId="250E9219">
      <w:pPr>
        <w:keepNext w:val="0"/>
        <w:keepLines w:val="0"/>
        <w:pageBreakBefore w:val="0"/>
        <w:kinsoku/>
        <w:overflowPunct/>
        <w:topLinePunct w:val="0"/>
        <w:bidi w:val="0"/>
        <w:snapToGrid w:val="0"/>
        <w:spacing w:line="360" w:lineRule="auto"/>
        <w:ind w:left="431"/>
        <w:textAlignment w:val="auto"/>
        <w:rPr>
          <w:rFonts w:ascii="宋体" w:hAnsi="宋体" w:cs="宋体"/>
          <w:b/>
          <w:color w:val="auto"/>
          <w:highlight w:val="none"/>
        </w:rPr>
      </w:pPr>
      <w:r>
        <w:rPr>
          <w:rFonts w:hint="eastAsia" w:ascii="宋体" w:hAnsi="宋体" w:cs="宋体"/>
          <w:b/>
          <w:color w:val="auto"/>
          <w:highlight w:val="none"/>
        </w:rPr>
        <w:t>第七条  双方责任</w:t>
      </w:r>
    </w:p>
    <w:p w14:paraId="47EAF300">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 xml:space="preserve">（一）甲方责任  </w:t>
      </w:r>
    </w:p>
    <w:p w14:paraId="560DFD1F">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（1）甲方带乙方至现场办好进场手续。</w:t>
      </w:r>
    </w:p>
    <w:p w14:paraId="77756357">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（2）开工前</w:t>
      </w:r>
      <w:r>
        <w:rPr>
          <w:rFonts w:hint="eastAsia" w:ascii="宋体" w:hAnsi="宋体" w:cs="宋体"/>
          <w:color w:val="auto"/>
          <w:highlight w:val="none"/>
          <w:u w:val="single"/>
        </w:rPr>
        <w:t xml:space="preserve">   5 </w:t>
      </w:r>
      <w:r>
        <w:rPr>
          <w:rFonts w:hint="eastAsia" w:ascii="宋体" w:hAnsi="宋体" w:cs="宋体"/>
          <w:color w:val="auto"/>
          <w:highlight w:val="none"/>
        </w:rPr>
        <w:t>天由甲、乙双方参加的施工图会审。提供施工用水、电、材料、工具堆放场所。</w:t>
      </w:r>
    </w:p>
    <w:p w14:paraId="7C4F842D">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（3）甲方委派</w:t>
      </w:r>
      <w:r>
        <w:rPr>
          <w:rFonts w:hint="eastAsia" w:ascii="宋体" w:hAnsi="宋体" w:cs="宋体"/>
          <w:color w:val="auto"/>
          <w:highlight w:val="none"/>
          <w:u w:val="single"/>
        </w:rPr>
        <w:t xml:space="preserve">       </w:t>
      </w:r>
      <w:r>
        <w:rPr>
          <w:rFonts w:hint="eastAsia" w:ascii="宋体" w:hAnsi="宋体" w:cs="宋体"/>
          <w:color w:val="auto"/>
          <w:highlight w:val="none"/>
        </w:rPr>
        <w:t>为现场管理代表，监督检查工程质量、进度、负责设计图纸的变更、工程质量验收及其他事宜，组织对工程竣工验收和办理竣工结算。对乙方在施工中发现设计错误提出的意见，甲方在收到书面通知后</w:t>
      </w:r>
      <w:r>
        <w:rPr>
          <w:rFonts w:hint="eastAsia" w:ascii="宋体" w:hAnsi="宋体" w:cs="宋体"/>
          <w:color w:val="auto"/>
          <w:highlight w:val="none"/>
          <w:u w:val="single"/>
        </w:rPr>
        <w:t xml:space="preserve">  3   </w:t>
      </w:r>
      <w:r>
        <w:rPr>
          <w:rFonts w:hint="eastAsia" w:ascii="宋体" w:hAnsi="宋体" w:cs="宋体"/>
          <w:color w:val="auto"/>
          <w:highlight w:val="none"/>
        </w:rPr>
        <w:t>天内会同设计方进行处理。</w:t>
      </w:r>
    </w:p>
    <w:p w14:paraId="5D70B70C">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（4）如需变更已施工的工程，甲方应以书面通知乙方，如现场临时变更，应在</w:t>
      </w:r>
      <w:r>
        <w:rPr>
          <w:rFonts w:hint="eastAsia" w:ascii="宋体" w:hAnsi="宋体" w:cs="宋体"/>
          <w:color w:val="auto"/>
          <w:highlight w:val="none"/>
          <w:u w:val="single"/>
        </w:rPr>
        <w:t xml:space="preserve">  2  </w:t>
      </w:r>
      <w:r>
        <w:rPr>
          <w:rFonts w:hint="eastAsia" w:ascii="宋体" w:hAnsi="宋体" w:cs="宋体"/>
          <w:color w:val="auto"/>
          <w:highlight w:val="none"/>
        </w:rPr>
        <w:t>天内补办并签认。</w:t>
      </w:r>
    </w:p>
    <w:p w14:paraId="369CD848">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（5）协调施工现场有关部门，提供施工上的方便和材料设备堆放场所。</w:t>
      </w:r>
    </w:p>
    <w:p w14:paraId="3E100A5F">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 xml:space="preserve">（二）乙方责任  </w:t>
      </w:r>
    </w:p>
    <w:p w14:paraId="36E225F0">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（1）开工前完成施工方案的施工图会审及现场交底工作，编造施工组织设计和材料、设备进场计划并送甲方审定。</w:t>
      </w:r>
    </w:p>
    <w:p w14:paraId="789029C8">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（2）确定项目负责人，乙方委派</w:t>
      </w:r>
      <w:r>
        <w:rPr>
          <w:rFonts w:hint="eastAsia" w:ascii="宋体" w:hAnsi="宋体" w:cs="宋体"/>
          <w:color w:val="auto"/>
          <w:highlight w:val="none"/>
          <w:u w:val="single"/>
        </w:rPr>
        <w:t xml:space="preserve">         </w:t>
      </w:r>
      <w:r>
        <w:rPr>
          <w:rFonts w:hint="eastAsia" w:ascii="宋体" w:hAnsi="宋体" w:cs="宋体"/>
          <w:color w:val="auto"/>
          <w:highlight w:val="none"/>
        </w:rPr>
        <w:t>为现场管理代表，严格按照施工图与说明书以及施工技术规范和操作规程保证质量进行施工。遵守甲方相关现场管理规定。该人员必须在施工期间每天到场实施工程监督和协调。</w:t>
      </w:r>
    </w:p>
    <w:p w14:paraId="16D93D5C">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（3）对工程质量、安全、环保、文明施工进行现场管理和控制。</w:t>
      </w:r>
    </w:p>
    <w:p w14:paraId="6CCEB088">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（4）按施工安全规范做好施工质量、安全管理，指定安全、防火负责人，物件堆放整齐，道路畅通，处理涉及施工现场的相关单位的关系。</w:t>
      </w:r>
    </w:p>
    <w:p w14:paraId="53211170">
      <w:pPr>
        <w:keepNext w:val="0"/>
        <w:keepLines w:val="0"/>
        <w:pageBreakBefore w:val="0"/>
        <w:kinsoku/>
        <w:overflowPunct/>
        <w:topLinePunct w:val="0"/>
        <w:bidi w:val="0"/>
        <w:snapToGrid w:val="0"/>
        <w:spacing w:line="360" w:lineRule="auto"/>
        <w:ind w:firstLine="417" w:firstLineChars="199"/>
        <w:textAlignment w:val="auto"/>
        <w:rPr>
          <w:rFonts w:hint="eastAsia" w:ascii="宋体" w:hAnsi="宋体" w:cs="宋体"/>
          <w:color w:val="auto"/>
          <w:highlight w:val="none"/>
        </w:rPr>
      </w:pPr>
      <w:r>
        <w:rPr>
          <w:rFonts w:hint="eastAsia" w:ascii="宋体" w:hAnsi="宋体" w:cs="宋体"/>
          <w:color w:val="auto"/>
          <w:highlight w:val="none"/>
        </w:rPr>
        <w:t>（5）负责施工所需的工具、设备、机械运输，设置安全设施标志。</w:t>
      </w:r>
    </w:p>
    <w:p w14:paraId="2BFE57B7">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（6）严格按照施工方案、施工图与说明书以及施工技术规范和操作规程进行施工，接受甲方和质监部门的监督。</w:t>
      </w:r>
    </w:p>
    <w:p w14:paraId="057598DD">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（7）凡施工期间发生的施工质量、安全事故均由乙方负责。</w:t>
      </w:r>
    </w:p>
    <w:p w14:paraId="77323F6D">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（8）如工程上存在问题，经相关部门确认后，须即采取措施纠正，否则甲方有权采取措施直至终止合同。</w:t>
      </w:r>
    </w:p>
    <w:p w14:paraId="5050D3ED">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（9）施工中如发现设计错误或严重不合理时，即以书面通知甲方。做好施工原始记录，按时向甲方报送进度和完工报表。</w:t>
      </w:r>
    </w:p>
    <w:p w14:paraId="145E3275">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（10）工程竣工移交资料、附件及备用件。竣工后的施工和生活设施拆除。验收后</w:t>
      </w:r>
      <w:r>
        <w:rPr>
          <w:rFonts w:hint="eastAsia" w:ascii="宋体" w:hAnsi="宋体" w:cs="宋体"/>
          <w:color w:val="auto"/>
          <w:highlight w:val="none"/>
          <w:u w:val="single"/>
        </w:rPr>
        <w:t xml:space="preserve"> 7  </w:t>
      </w:r>
      <w:r>
        <w:rPr>
          <w:rFonts w:hint="eastAsia" w:ascii="宋体" w:hAnsi="宋体" w:cs="宋体"/>
          <w:color w:val="auto"/>
          <w:highlight w:val="none"/>
        </w:rPr>
        <w:t>天内施工人员撤离。</w:t>
      </w:r>
    </w:p>
    <w:p w14:paraId="2EF36E4D">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（11）未经甲方同意不得随意拆改原建筑物结构及各种管线、设备并对本工程的材料、产品作验收移交前的保护。</w:t>
      </w:r>
    </w:p>
    <w:p w14:paraId="30B98FBD">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（12）工程中的拆除物，经甲方认定，无价值的由乙方按有关规定清理，存在价值的，交由甲方处理或按甲方要求进行处理。</w:t>
      </w:r>
    </w:p>
    <w:p w14:paraId="7595BDB9">
      <w:pPr>
        <w:keepNext w:val="0"/>
        <w:keepLines w:val="0"/>
        <w:pageBreakBefore w:val="0"/>
        <w:kinsoku/>
        <w:overflowPunct/>
        <w:topLinePunct w:val="0"/>
        <w:bidi w:val="0"/>
        <w:snapToGrid w:val="0"/>
        <w:spacing w:line="360" w:lineRule="auto"/>
        <w:ind w:firstLine="480"/>
        <w:textAlignment w:val="auto"/>
        <w:rPr>
          <w:rFonts w:ascii="宋体" w:hAnsi="宋体" w:cs="宋体"/>
          <w:color w:val="auto"/>
          <w:highlight w:val="none"/>
        </w:rPr>
      </w:pPr>
      <w:r>
        <w:rPr>
          <w:rFonts w:hint="eastAsia" w:ascii="宋体" w:hAnsi="宋体" w:cs="宋体"/>
          <w:color w:val="auto"/>
          <w:highlight w:val="none"/>
        </w:rPr>
        <w:t>（13）乙方须派报价文件报备的项目经理来施工现场履行项目经理职责，未经甲方同意不得随意更换。</w:t>
      </w:r>
    </w:p>
    <w:p w14:paraId="51EB1AE3">
      <w:pPr>
        <w:keepNext w:val="0"/>
        <w:keepLines w:val="0"/>
        <w:pageBreakBefore w:val="0"/>
        <w:kinsoku/>
        <w:overflowPunct/>
        <w:topLinePunct w:val="0"/>
        <w:bidi w:val="0"/>
        <w:snapToGrid w:val="0"/>
        <w:spacing w:line="360" w:lineRule="auto"/>
        <w:ind w:firstLine="422" w:firstLineChars="200"/>
        <w:textAlignment w:val="auto"/>
        <w:rPr>
          <w:rFonts w:ascii="宋体" w:hAnsi="宋体" w:cs="宋体"/>
          <w:b/>
          <w:color w:val="auto"/>
          <w:highlight w:val="none"/>
        </w:rPr>
      </w:pPr>
      <w:r>
        <w:rPr>
          <w:rFonts w:hint="eastAsia" w:ascii="宋体" w:hAnsi="宋体" w:cs="宋体"/>
          <w:b/>
          <w:color w:val="auto"/>
          <w:highlight w:val="none"/>
        </w:rPr>
        <w:t xml:space="preserve">第八条  工程验收  </w:t>
      </w:r>
    </w:p>
    <w:p w14:paraId="5DD3ED60">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由甲乙双方以施工图纸及说明书、图纸会审记录、有关变更的书面文件，国家施工验收规范和质量检验标准为依据进行验收。隐蔽工程在乙方自检后填制记录表，待甲方检查。甲方接通知后</w:t>
      </w:r>
      <w:r>
        <w:rPr>
          <w:rFonts w:hint="eastAsia" w:ascii="宋体" w:hAnsi="宋体" w:cs="宋体"/>
          <w:color w:val="auto"/>
          <w:highlight w:val="none"/>
          <w:u w:val="single"/>
        </w:rPr>
        <w:t xml:space="preserve"> 3   </w:t>
      </w:r>
      <w:r>
        <w:rPr>
          <w:rFonts w:hint="eastAsia" w:ascii="宋体" w:hAnsi="宋体" w:cs="宋体"/>
          <w:color w:val="auto"/>
          <w:highlight w:val="none"/>
        </w:rPr>
        <w:t>天内到场验收，经检验合格由双方签字确认进行下一工序的施工。如甲方不按时验收，乙方自检确认合格后可隐蔽，甲、乙方应予承认。若事后甲方提出复查，费用由甲方承担。复查结果不合格，返修费由乙方承担，工期顺延。工程竣工前</w:t>
      </w:r>
      <w:r>
        <w:rPr>
          <w:rFonts w:hint="eastAsia" w:ascii="宋体" w:hAnsi="宋体" w:cs="宋体"/>
          <w:color w:val="auto"/>
          <w:highlight w:val="none"/>
          <w:u w:val="single"/>
        </w:rPr>
        <w:t xml:space="preserve">  3  </w:t>
      </w:r>
      <w:r>
        <w:rPr>
          <w:rFonts w:hint="eastAsia" w:ascii="宋体" w:hAnsi="宋体" w:cs="宋体"/>
          <w:color w:val="auto"/>
          <w:highlight w:val="none"/>
        </w:rPr>
        <w:t>天，由乙方通知甲方组织有关人员验收。甲方应在接通知</w:t>
      </w:r>
      <w:r>
        <w:rPr>
          <w:rFonts w:hint="eastAsia" w:ascii="宋体" w:hAnsi="宋体" w:cs="宋体"/>
          <w:color w:val="auto"/>
          <w:highlight w:val="none"/>
          <w:u w:val="single"/>
        </w:rPr>
        <w:t xml:space="preserve"> 15   </w:t>
      </w:r>
      <w:r>
        <w:rPr>
          <w:rFonts w:hint="eastAsia" w:ascii="宋体" w:hAnsi="宋体" w:cs="宋体"/>
          <w:color w:val="auto"/>
          <w:highlight w:val="none"/>
        </w:rPr>
        <w:t>天内组织验收。工程内容及质量符合要求的，双方签字确认，同时乙方将全部资料移交给甲方</w:t>
      </w:r>
      <w:r>
        <w:rPr>
          <w:rFonts w:hint="eastAsia" w:ascii="宋体" w:hAnsi="宋体" w:cs="宋体"/>
          <w:color w:val="auto"/>
          <w:highlight w:val="none"/>
          <w:u w:val="single"/>
        </w:rPr>
        <w:t xml:space="preserve">  2  </w:t>
      </w:r>
      <w:r>
        <w:rPr>
          <w:rFonts w:hint="eastAsia" w:ascii="宋体" w:hAnsi="宋体" w:cs="宋体"/>
          <w:color w:val="auto"/>
          <w:highlight w:val="none"/>
        </w:rPr>
        <w:t>套。如质量不合格，乙方在限期内返修后进行验收，直至合格，由此发生的费用由乙方承担。验收合格日为竣工日期。工程未经验收，甲方提前使用或擅自动用而发生损坏，由此发生的质量或其他问题由甲方负责。工程竣工后，由乙方提供经乙方签章的竣工图。</w:t>
      </w:r>
    </w:p>
    <w:p w14:paraId="1BA45868">
      <w:pPr>
        <w:keepNext w:val="0"/>
        <w:keepLines w:val="0"/>
        <w:pageBreakBefore w:val="0"/>
        <w:kinsoku/>
        <w:overflowPunct/>
        <w:topLinePunct w:val="0"/>
        <w:bidi w:val="0"/>
        <w:adjustRightInd w:val="0"/>
        <w:snapToGrid w:val="0"/>
        <w:spacing w:line="360" w:lineRule="auto"/>
        <w:ind w:firstLine="422" w:firstLineChars="200"/>
        <w:textAlignment w:val="auto"/>
        <w:rPr>
          <w:rFonts w:ascii="宋体" w:hAnsi="宋体" w:cs="宋体"/>
          <w:b/>
          <w:color w:val="auto"/>
          <w:highlight w:val="none"/>
        </w:rPr>
      </w:pPr>
      <w:r>
        <w:rPr>
          <w:rFonts w:hint="eastAsia" w:ascii="宋体" w:hAnsi="宋体" w:cs="宋体"/>
          <w:b/>
          <w:color w:val="auto"/>
          <w:highlight w:val="none"/>
        </w:rPr>
        <w:t>第九条  违约责任</w:t>
      </w:r>
      <w:r>
        <w:rPr>
          <w:rFonts w:hint="eastAsia" w:ascii="宋体" w:hAnsi="宋体" w:eastAsia="宋体" w:cs="宋体"/>
          <w:b/>
          <w:color w:val="auto"/>
          <w:highlight w:val="none"/>
        </w:rPr>
        <w:t>与赔偿损失</w:t>
      </w:r>
    </w:p>
    <w:p w14:paraId="591AC539">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cs="宋体"/>
          <w:color w:val="auto"/>
          <w:highlight w:val="none"/>
        </w:rPr>
      </w:pPr>
      <w:r>
        <w:rPr>
          <w:rFonts w:hint="eastAsia" w:ascii="宋体" w:hAnsi="宋体" w:cs="宋体"/>
          <w:color w:val="auto"/>
          <w:highlight w:val="none"/>
        </w:rPr>
        <w:t>1.如乙方所完成的工程质量不符合磋商文件、乙方响应文件或本合同规定的，甲方有权拒收，乙方应无条件返工。乙方须向甲方支付本合同总价5%的违约金。</w:t>
      </w:r>
    </w:p>
    <w:p w14:paraId="70CB72AC">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cs="宋体"/>
          <w:color w:val="auto"/>
          <w:highlight w:val="none"/>
        </w:rPr>
      </w:pPr>
      <w:r>
        <w:rPr>
          <w:rFonts w:hint="eastAsia" w:ascii="宋体" w:hAnsi="宋体" w:cs="宋体"/>
          <w:color w:val="auto"/>
          <w:highlight w:val="none"/>
        </w:rPr>
        <w:t>2.乙方未能按本合同规定的时间竣工验收合格，按时交付甲方使用，从逾期之日起每日按本合同总价5‰的数额向甲方支付违约金；逾期半个月以上的，甲方有权终止合同，由此造成的损失由乙方承担。</w:t>
      </w:r>
    </w:p>
    <w:p w14:paraId="5EA1E0EB">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cs="宋体"/>
          <w:color w:val="auto"/>
          <w:highlight w:val="none"/>
        </w:rPr>
      </w:pPr>
      <w:r>
        <w:rPr>
          <w:rFonts w:hint="eastAsia" w:ascii="宋体" w:hAnsi="宋体" w:cs="宋体"/>
          <w:color w:val="auto"/>
          <w:highlight w:val="none"/>
        </w:rPr>
        <w:t>3.如因甲方原因而误期，工程工期继续延伸。</w:t>
      </w:r>
    </w:p>
    <w:p w14:paraId="60374919">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cs="宋体"/>
          <w:color w:val="auto"/>
          <w:highlight w:val="none"/>
        </w:rPr>
      </w:pPr>
      <w:r>
        <w:rPr>
          <w:rFonts w:hint="eastAsia" w:ascii="宋体" w:hAnsi="宋体" w:cs="宋体"/>
          <w:color w:val="auto"/>
          <w:highlight w:val="none"/>
        </w:rPr>
        <w:t>4.其它违约责任按磋商文件要求、乙方响应文件承诺处理。</w:t>
      </w:r>
    </w:p>
    <w:p w14:paraId="616E8343">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cs="宋体"/>
          <w:color w:val="auto"/>
          <w:highlight w:val="none"/>
        </w:rPr>
      </w:pPr>
      <w:r>
        <w:rPr>
          <w:rFonts w:hint="eastAsia" w:ascii="宋体" w:hAnsi="宋体" w:cs="宋体"/>
          <w:color w:val="auto"/>
          <w:highlight w:val="none"/>
        </w:rPr>
        <w:t>5.未尽事宜按《中华人民共和国民法典》处理。</w:t>
      </w:r>
    </w:p>
    <w:p w14:paraId="58FDEB85">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lang w:val="en-US" w:eastAsia="zh-CN"/>
        </w:rPr>
        <w:t>6、</w:t>
      </w:r>
      <w:r>
        <w:rPr>
          <w:rFonts w:hint="eastAsia" w:ascii="宋体" w:hAnsi="宋体" w:cs="宋体"/>
          <w:color w:val="auto"/>
          <w:highlight w:val="none"/>
        </w:rPr>
        <w:t>遇不可抗力，双方需在尽可能的情况下采取保全措施，并及时通知对方。</w:t>
      </w:r>
    </w:p>
    <w:p w14:paraId="673D6D61">
      <w:pPr>
        <w:keepNext w:val="0"/>
        <w:keepLines w:val="0"/>
        <w:pageBreakBefore w:val="0"/>
        <w:kinsoku/>
        <w:overflowPunct/>
        <w:topLinePunct w:val="0"/>
        <w:bidi w:val="0"/>
        <w:snapToGrid w:val="0"/>
        <w:spacing w:line="360" w:lineRule="auto"/>
        <w:ind w:firstLine="422" w:firstLineChars="200"/>
        <w:textAlignment w:val="auto"/>
        <w:rPr>
          <w:rFonts w:ascii="宋体" w:hAnsi="宋体" w:cs="宋体"/>
          <w:b/>
          <w:color w:val="auto"/>
          <w:highlight w:val="none"/>
        </w:rPr>
      </w:pPr>
      <w:r>
        <w:rPr>
          <w:rFonts w:hint="eastAsia" w:ascii="宋体" w:hAnsi="宋体" w:cs="宋体"/>
          <w:b/>
          <w:color w:val="auto"/>
          <w:highlight w:val="none"/>
        </w:rPr>
        <w:t>第十条  其他约定条款</w:t>
      </w:r>
    </w:p>
    <w:p w14:paraId="4FA47EB2">
      <w:pPr>
        <w:keepNext w:val="0"/>
        <w:keepLines w:val="0"/>
        <w:pageBreakBefore w:val="0"/>
        <w:numPr>
          <w:ilvl w:val="0"/>
          <w:numId w:val="17"/>
        </w:numPr>
        <w:kinsoku/>
        <w:overflowPunct/>
        <w:topLinePunct w:val="0"/>
        <w:autoSpaceDE/>
        <w:autoSpaceDN/>
        <w:bidi w:val="0"/>
        <w:adjustRightInd/>
        <w:snapToGrid w:val="0"/>
        <w:spacing w:line="360" w:lineRule="auto"/>
        <w:jc w:val="both"/>
        <w:textAlignment w:val="auto"/>
        <w:rPr>
          <w:rFonts w:ascii="宋体" w:hAnsi="宋体" w:cs="宋体"/>
          <w:color w:val="auto"/>
          <w:highlight w:val="none"/>
          <w:u w:val="single"/>
        </w:rPr>
      </w:pPr>
      <w:r>
        <w:rPr>
          <w:rFonts w:hint="eastAsia" w:ascii="宋体" w:hAnsi="宋体" w:cs="宋体"/>
          <w:color w:val="auto"/>
          <w:highlight w:val="none"/>
        </w:rPr>
        <w:t>本工程的磋商文件、报价清单是合同的组成部分。</w:t>
      </w:r>
    </w:p>
    <w:p w14:paraId="7DF0E7D3">
      <w:pPr>
        <w:keepNext w:val="0"/>
        <w:keepLines w:val="0"/>
        <w:pageBreakBefore w:val="0"/>
        <w:numPr>
          <w:ilvl w:val="0"/>
          <w:numId w:val="17"/>
        </w:numPr>
        <w:tabs>
          <w:tab w:val="left" w:pos="0"/>
          <w:tab w:val="clear" w:pos="1320"/>
        </w:tabs>
        <w:kinsoku/>
        <w:overflowPunct/>
        <w:topLinePunct w:val="0"/>
        <w:autoSpaceDE/>
        <w:autoSpaceDN/>
        <w:bidi w:val="0"/>
        <w:adjustRightInd/>
        <w:snapToGrid w:val="0"/>
        <w:spacing w:line="360" w:lineRule="auto"/>
        <w:ind w:left="0" w:firstLine="600"/>
        <w:jc w:val="both"/>
        <w:textAlignment w:val="auto"/>
        <w:rPr>
          <w:rFonts w:ascii="宋体" w:hAnsi="宋体" w:cs="宋体"/>
          <w:color w:val="auto"/>
          <w:highlight w:val="none"/>
          <w:u w:val="single"/>
        </w:rPr>
      </w:pPr>
      <w:r>
        <w:rPr>
          <w:rFonts w:hint="eastAsia" w:ascii="宋体" w:hAnsi="宋体" w:cs="宋体"/>
          <w:color w:val="auto"/>
          <w:highlight w:val="none"/>
        </w:rPr>
        <w:t>乙方按有关规定，采取严格的安全防护措施，并承担由于自身安全措施不力造成事故的责任和因此发生的费用。</w:t>
      </w:r>
    </w:p>
    <w:p w14:paraId="75FAA967">
      <w:pPr>
        <w:keepNext w:val="0"/>
        <w:keepLines w:val="0"/>
        <w:pageBreakBefore w:val="0"/>
        <w:numPr>
          <w:ilvl w:val="0"/>
          <w:numId w:val="17"/>
        </w:numPr>
        <w:tabs>
          <w:tab w:val="left" w:pos="0"/>
          <w:tab w:val="clear" w:pos="1320"/>
        </w:tabs>
        <w:kinsoku/>
        <w:overflowPunct/>
        <w:topLinePunct w:val="0"/>
        <w:autoSpaceDE/>
        <w:autoSpaceDN/>
        <w:bidi w:val="0"/>
        <w:adjustRightInd/>
        <w:snapToGrid w:val="0"/>
        <w:spacing w:line="360" w:lineRule="auto"/>
        <w:ind w:left="0" w:firstLine="600"/>
        <w:jc w:val="both"/>
        <w:textAlignment w:val="auto"/>
        <w:rPr>
          <w:rFonts w:ascii="宋体" w:hAnsi="宋体" w:cs="宋体"/>
          <w:color w:val="auto"/>
          <w:highlight w:val="none"/>
          <w:u w:val="single"/>
        </w:rPr>
      </w:pPr>
      <w:r>
        <w:rPr>
          <w:rFonts w:hint="eastAsia" w:ascii="宋体" w:hAnsi="宋体" w:cs="宋体"/>
          <w:color w:val="auto"/>
          <w:highlight w:val="none"/>
        </w:rPr>
        <w:t>乙方材料设备、机械的损坏及停工等损失，费用由乙方承担。</w:t>
      </w:r>
    </w:p>
    <w:p w14:paraId="1AB06768">
      <w:pPr>
        <w:keepNext w:val="0"/>
        <w:keepLines w:val="0"/>
        <w:pageBreakBefore w:val="0"/>
        <w:numPr>
          <w:ilvl w:val="0"/>
          <w:numId w:val="17"/>
        </w:numPr>
        <w:tabs>
          <w:tab w:val="left" w:pos="0"/>
          <w:tab w:val="clear" w:pos="1320"/>
        </w:tabs>
        <w:kinsoku/>
        <w:overflowPunct/>
        <w:topLinePunct w:val="0"/>
        <w:autoSpaceDE/>
        <w:autoSpaceDN/>
        <w:bidi w:val="0"/>
        <w:adjustRightInd/>
        <w:snapToGrid w:val="0"/>
        <w:spacing w:line="360" w:lineRule="auto"/>
        <w:ind w:left="0" w:firstLine="600"/>
        <w:jc w:val="both"/>
        <w:textAlignment w:val="auto"/>
        <w:rPr>
          <w:rFonts w:ascii="宋体" w:hAnsi="宋体" w:cs="宋体"/>
          <w:color w:val="auto"/>
          <w:highlight w:val="none"/>
          <w:u w:val="single"/>
        </w:rPr>
      </w:pPr>
      <w:r>
        <w:rPr>
          <w:rFonts w:hint="eastAsia" w:ascii="宋体" w:hAnsi="宋体" w:cs="宋体"/>
          <w:color w:val="auto"/>
          <w:highlight w:val="none"/>
        </w:rPr>
        <w:t>未经甲方同意，乙方擅自拆改原建筑物结构或设备、管线和其他附着物，由此发生的事故或造成的损失（包括罚款），由乙方承担责任并赔偿损失。</w:t>
      </w:r>
    </w:p>
    <w:p w14:paraId="16FB94BB">
      <w:pPr>
        <w:keepNext w:val="0"/>
        <w:keepLines w:val="0"/>
        <w:pageBreakBefore w:val="0"/>
        <w:numPr>
          <w:ilvl w:val="0"/>
          <w:numId w:val="17"/>
        </w:numPr>
        <w:tabs>
          <w:tab w:val="left" w:pos="0"/>
          <w:tab w:val="clear" w:pos="1320"/>
        </w:tabs>
        <w:kinsoku/>
        <w:overflowPunct/>
        <w:topLinePunct w:val="0"/>
        <w:autoSpaceDE/>
        <w:autoSpaceDN/>
        <w:bidi w:val="0"/>
        <w:adjustRightInd/>
        <w:snapToGrid w:val="0"/>
        <w:spacing w:line="360" w:lineRule="auto"/>
        <w:ind w:left="0" w:firstLine="600"/>
        <w:jc w:val="both"/>
        <w:textAlignment w:val="auto"/>
        <w:rPr>
          <w:rFonts w:ascii="宋体" w:hAnsi="宋体" w:cs="宋体"/>
          <w:color w:val="auto"/>
          <w:highlight w:val="none"/>
          <w:u w:val="single"/>
        </w:rPr>
      </w:pPr>
      <w:r>
        <w:rPr>
          <w:rFonts w:hint="eastAsia" w:ascii="宋体" w:hAnsi="宋体" w:cs="宋体"/>
          <w:color w:val="auto"/>
          <w:highlight w:val="none"/>
        </w:rPr>
        <w:t>每日施工后，乙方要收整现场，并清理余泥杂物。</w:t>
      </w:r>
    </w:p>
    <w:p w14:paraId="3924CB99">
      <w:pPr>
        <w:keepNext w:val="0"/>
        <w:keepLines w:val="0"/>
        <w:pageBreakBefore w:val="0"/>
        <w:numPr>
          <w:ilvl w:val="0"/>
          <w:numId w:val="17"/>
        </w:numPr>
        <w:tabs>
          <w:tab w:val="left" w:pos="0"/>
          <w:tab w:val="clear" w:pos="1320"/>
        </w:tabs>
        <w:kinsoku/>
        <w:overflowPunct/>
        <w:topLinePunct w:val="0"/>
        <w:autoSpaceDE/>
        <w:autoSpaceDN/>
        <w:bidi w:val="0"/>
        <w:adjustRightInd/>
        <w:snapToGrid w:val="0"/>
        <w:spacing w:line="360" w:lineRule="auto"/>
        <w:ind w:left="0" w:firstLine="600"/>
        <w:jc w:val="both"/>
        <w:textAlignment w:val="auto"/>
        <w:rPr>
          <w:rFonts w:ascii="宋体" w:hAnsi="宋体" w:cs="宋体"/>
          <w:color w:val="auto"/>
          <w:highlight w:val="none"/>
          <w:u w:val="single"/>
        </w:rPr>
      </w:pPr>
      <w:r>
        <w:rPr>
          <w:rFonts w:hint="eastAsia" w:ascii="宋体" w:hAnsi="宋体" w:cs="宋体"/>
          <w:color w:val="auto"/>
          <w:highlight w:val="none"/>
        </w:rPr>
        <w:t>乙方应做好文明施工工作及安全保卫工作，所有施工人员进场作业，必须办理出入证件等。</w:t>
      </w:r>
    </w:p>
    <w:p w14:paraId="34355033">
      <w:pPr>
        <w:keepNext w:val="0"/>
        <w:keepLines w:val="0"/>
        <w:pageBreakBefore w:val="0"/>
        <w:kinsoku/>
        <w:overflowPunct/>
        <w:topLinePunct w:val="0"/>
        <w:bidi w:val="0"/>
        <w:snapToGrid w:val="0"/>
        <w:spacing w:line="360" w:lineRule="auto"/>
        <w:ind w:firstLine="422" w:firstLineChars="200"/>
        <w:textAlignment w:val="auto"/>
        <w:rPr>
          <w:rFonts w:ascii="宋体" w:hAnsi="宋体" w:cs="宋体"/>
          <w:b/>
          <w:color w:val="auto"/>
          <w:highlight w:val="none"/>
        </w:rPr>
      </w:pPr>
      <w:r>
        <w:rPr>
          <w:rFonts w:hint="eastAsia" w:ascii="宋体" w:hAnsi="宋体" w:cs="宋体"/>
          <w:b/>
          <w:color w:val="auto"/>
          <w:highlight w:val="none"/>
        </w:rPr>
        <w:t>第十一条  争议解决方式</w:t>
      </w:r>
    </w:p>
    <w:p w14:paraId="5447400F">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发生纠纷双方协商或调解，协商或调解不成时，向甲方所在辖区人民法院提起诉讼。</w:t>
      </w:r>
    </w:p>
    <w:p w14:paraId="3747C3A5">
      <w:pPr>
        <w:keepNext w:val="0"/>
        <w:keepLines w:val="0"/>
        <w:pageBreakBefore w:val="0"/>
        <w:kinsoku/>
        <w:overflowPunct/>
        <w:topLinePunct w:val="0"/>
        <w:bidi w:val="0"/>
        <w:snapToGrid w:val="0"/>
        <w:spacing w:line="360" w:lineRule="auto"/>
        <w:ind w:firstLine="422" w:firstLineChars="200"/>
        <w:textAlignment w:val="auto"/>
        <w:rPr>
          <w:rFonts w:ascii="宋体" w:hAnsi="宋体" w:cs="宋体"/>
          <w:b/>
          <w:color w:val="auto"/>
          <w:highlight w:val="none"/>
        </w:rPr>
      </w:pPr>
      <w:r>
        <w:rPr>
          <w:rFonts w:hint="eastAsia" w:ascii="宋体" w:hAnsi="宋体" w:cs="宋体"/>
          <w:b/>
          <w:color w:val="auto"/>
          <w:highlight w:val="none"/>
        </w:rPr>
        <w:t>第十二条  合同有效期</w:t>
      </w:r>
    </w:p>
    <w:p w14:paraId="73D73BF4">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本合同经甲方盖章，乙方签字盖章后生效，至工程竣工验收，保修期满并结清款项后失效。</w:t>
      </w:r>
    </w:p>
    <w:p w14:paraId="24639D95">
      <w:pPr>
        <w:keepNext w:val="0"/>
        <w:keepLines w:val="0"/>
        <w:pageBreakBefore w:val="0"/>
        <w:kinsoku/>
        <w:overflowPunct/>
        <w:topLinePunct w:val="0"/>
        <w:bidi w:val="0"/>
        <w:snapToGrid w:val="0"/>
        <w:spacing w:line="360" w:lineRule="auto"/>
        <w:ind w:firstLine="422" w:firstLineChars="200"/>
        <w:textAlignment w:val="auto"/>
        <w:rPr>
          <w:rFonts w:ascii="宋体" w:hAnsi="宋体" w:cs="宋体"/>
          <w:color w:val="auto"/>
          <w:highlight w:val="none"/>
        </w:rPr>
      </w:pPr>
      <w:r>
        <w:rPr>
          <w:rFonts w:hint="eastAsia" w:ascii="宋体" w:hAnsi="宋体" w:cs="宋体"/>
          <w:b/>
          <w:color w:val="auto"/>
          <w:highlight w:val="none"/>
        </w:rPr>
        <w:t>第十三条</w:t>
      </w:r>
      <w:r>
        <w:rPr>
          <w:rFonts w:hint="eastAsia" w:ascii="宋体" w:hAnsi="宋体" w:cs="宋体"/>
          <w:color w:val="auto"/>
          <w:highlight w:val="none"/>
        </w:rPr>
        <w:t xml:space="preserve">  合同一式</w:t>
      </w:r>
      <w:r>
        <w:rPr>
          <w:rFonts w:hint="eastAsia" w:ascii="宋体" w:hAnsi="宋体" w:cs="宋体"/>
          <w:color w:val="auto"/>
          <w:highlight w:val="none"/>
          <w:u w:val="single"/>
        </w:rPr>
        <w:t xml:space="preserve">    </w:t>
      </w:r>
      <w:r>
        <w:rPr>
          <w:rFonts w:hint="eastAsia" w:ascii="宋体" w:hAnsi="宋体" w:cs="宋体"/>
          <w:color w:val="auto"/>
          <w:highlight w:val="none"/>
        </w:rPr>
        <w:t>份，甲方</w:t>
      </w:r>
      <w:r>
        <w:rPr>
          <w:rFonts w:hint="eastAsia" w:ascii="宋体" w:hAnsi="宋体" w:cs="宋体"/>
          <w:color w:val="auto"/>
          <w:highlight w:val="none"/>
          <w:u w:val="single"/>
        </w:rPr>
        <w:t xml:space="preserve">   </w:t>
      </w:r>
      <w:r>
        <w:rPr>
          <w:rFonts w:hint="eastAsia" w:ascii="宋体" w:hAnsi="宋体" w:cs="宋体"/>
          <w:color w:val="auto"/>
          <w:highlight w:val="none"/>
        </w:rPr>
        <w:t>份，乙方</w:t>
      </w:r>
      <w:r>
        <w:rPr>
          <w:rFonts w:hint="eastAsia" w:ascii="宋体" w:hAnsi="宋体" w:cs="宋体"/>
          <w:color w:val="auto"/>
          <w:highlight w:val="none"/>
          <w:u w:val="single"/>
        </w:rPr>
        <w:t xml:space="preserve">   </w:t>
      </w:r>
      <w:r>
        <w:rPr>
          <w:rFonts w:hint="eastAsia" w:ascii="宋体" w:hAnsi="宋体" w:cs="宋体"/>
          <w:color w:val="auto"/>
          <w:highlight w:val="none"/>
        </w:rPr>
        <w:t>份，采购代理机构</w:t>
      </w:r>
      <w:r>
        <w:rPr>
          <w:rFonts w:hint="eastAsia" w:ascii="宋体" w:hAnsi="宋体" w:cs="宋体"/>
          <w:color w:val="auto"/>
          <w:highlight w:val="none"/>
          <w:u w:val="single"/>
        </w:rPr>
        <w:t xml:space="preserve"> 壹  份</w:t>
      </w:r>
      <w:r>
        <w:rPr>
          <w:rFonts w:hint="eastAsia" w:ascii="宋体" w:hAnsi="宋体" w:cs="宋体"/>
          <w:color w:val="auto"/>
          <w:highlight w:val="none"/>
        </w:rPr>
        <w:t>，。</w:t>
      </w:r>
    </w:p>
    <w:p w14:paraId="2125F3DA">
      <w:pPr>
        <w:keepNext w:val="0"/>
        <w:keepLines w:val="0"/>
        <w:pageBreakBefore w:val="0"/>
        <w:kinsoku/>
        <w:overflowPunct/>
        <w:topLinePunct w:val="0"/>
        <w:bidi w:val="0"/>
        <w:snapToGrid w:val="0"/>
        <w:spacing w:line="360" w:lineRule="auto"/>
        <w:ind w:firstLine="422" w:firstLineChars="200"/>
        <w:textAlignment w:val="auto"/>
        <w:rPr>
          <w:rFonts w:ascii="宋体" w:hAnsi="宋体" w:cs="宋体"/>
          <w:color w:val="auto"/>
          <w:highlight w:val="none"/>
        </w:rPr>
      </w:pPr>
      <w:r>
        <w:rPr>
          <w:rFonts w:hint="eastAsia" w:ascii="宋体" w:hAnsi="宋体" w:cs="宋体"/>
          <w:b/>
          <w:color w:val="auto"/>
          <w:highlight w:val="none"/>
        </w:rPr>
        <w:t>第十四条</w:t>
      </w:r>
      <w:r>
        <w:rPr>
          <w:rFonts w:hint="eastAsia" w:ascii="宋体" w:hAnsi="宋体" w:cs="宋体"/>
          <w:color w:val="auto"/>
          <w:highlight w:val="none"/>
        </w:rPr>
        <w:t xml:space="preserve">  合同附件：</w:t>
      </w:r>
    </w:p>
    <w:p w14:paraId="79FCCEB9">
      <w:pPr>
        <w:keepNext w:val="0"/>
        <w:keepLines w:val="0"/>
        <w:pageBreakBefore w:val="0"/>
        <w:kinsoku/>
        <w:overflowPunct/>
        <w:topLinePunct w:val="0"/>
        <w:bidi w:val="0"/>
        <w:snapToGrid w:val="0"/>
        <w:spacing w:line="360" w:lineRule="auto"/>
        <w:textAlignment w:val="auto"/>
        <w:rPr>
          <w:rFonts w:ascii="宋体" w:hAnsi="宋体" w:cs="宋体"/>
          <w:color w:val="auto"/>
          <w:highlight w:val="none"/>
        </w:rPr>
      </w:pPr>
      <w:r>
        <w:rPr>
          <w:rFonts w:hint="eastAsia" w:ascii="宋体" w:hAnsi="宋体" w:cs="宋体"/>
          <w:color w:val="auto"/>
          <w:highlight w:val="none"/>
        </w:rPr>
        <w:t>甲方（盖章）：                                乙方（盖章）：</w:t>
      </w:r>
    </w:p>
    <w:p w14:paraId="45DFF1E1">
      <w:pPr>
        <w:keepNext w:val="0"/>
        <w:keepLines w:val="0"/>
        <w:pageBreakBefore w:val="0"/>
        <w:kinsoku/>
        <w:overflowPunct/>
        <w:topLinePunct w:val="0"/>
        <w:bidi w:val="0"/>
        <w:snapToGrid w:val="0"/>
        <w:spacing w:line="360" w:lineRule="auto"/>
        <w:textAlignment w:val="auto"/>
        <w:rPr>
          <w:rFonts w:ascii="宋体" w:hAnsi="宋体" w:cs="宋体"/>
          <w:color w:val="auto"/>
          <w:highlight w:val="none"/>
        </w:rPr>
      </w:pPr>
      <w:r>
        <w:rPr>
          <w:rFonts w:hint="eastAsia" w:ascii="宋体" w:hAnsi="宋体" w:cs="宋体"/>
          <w:color w:val="auto"/>
          <w:highlight w:val="none"/>
        </w:rPr>
        <w:t xml:space="preserve">代表：                                        代表： </w:t>
      </w:r>
    </w:p>
    <w:p w14:paraId="39353A0F">
      <w:pPr>
        <w:keepNext w:val="0"/>
        <w:keepLines w:val="0"/>
        <w:pageBreakBefore w:val="0"/>
        <w:kinsoku/>
        <w:overflowPunct/>
        <w:topLinePunct w:val="0"/>
        <w:bidi w:val="0"/>
        <w:snapToGrid w:val="0"/>
        <w:spacing w:line="360" w:lineRule="auto"/>
        <w:textAlignment w:val="auto"/>
        <w:rPr>
          <w:rFonts w:ascii="宋体" w:hAnsi="宋体" w:cs="宋体"/>
          <w:color w:val="auto"/>
          <w:highlight w:val="none"/>
        </w:rPr>
      </w:pPr>
      <w:r>
        <w:rPr>
          <w:rFonts w:hint="eastAsia" w:ascii="宋体" w:hAnsi="宋体" w:cs="宋体"/>
          <w:color w:val="auto"/>
          <w:highlight w:val="none"/>
        </w:rPr>
        <w:t>签定地点：</w:t>
      </w:r>
    </w:p>
    <w:p w14:paraId="6EBE2AD1">
      <w:pPr>
        <w:keepNext w:val="0"/>
        <w:keepLines w:val="0"/>
        <w:pageBreakBefore w:val="0"/>
        <w:kinsoku/>
        <w:overflowPunct/>
        <w:topLinePunct w:val="0"/>
        <w:bidi w:val="0"/>
        <w:snapToGrid w:val="0"/>
        <w:spacing w:line="360" w:lineRule="auto"/>
        <w:textAlignment w:val="auto"/>
        <w:rPr>
          <w:rFonts w:ascii="宋体" w:hAnsi="宋体" w:cs="宋体"/>
          <w:color w:val="auto"/>
          <w:highlight w:val="none"/>
        </w:rPr>
      </w:pPr>
      <w:r>
        <w:rPr>
          <w:rFonts w:hint="eastAsia" w:ascii="宋体" w:hAnsi="宋体" w:cs="宋体"/>
          <w:color w:val="auto"/>
          <w:highlight w:val="none"/>
        </w:rPr>
        <w:t xml:space="preserve">签定日期：        年     月    日             签定日期：    年    月    日    </w:t>
      </w:r>
    </w:p>
    <w:p w14:paraId="48AA84DB">
      <w:pPr>
        <w:keepNext w:val="0"/>
        <w:keepLines w:val="0"/>
        <w:pageBreakBefore w:val="0"/>
        <w:kinsoku/>
        <w:overflowPunct/>
        <w:topLinePunct w:val="0"/>
        <w:bidi w:val="0"/>
        <w:snapToGrid w:val="0"/>
        <w:spacing w:line="360" w:lineRule="auto"/>
        <w:ind w:firstLine="4830"/>
        <w:textAlignment w:val="auto"/>
        <w:rPr>
          <w:rFonts w:ascii="宋体" w:hAnsi="宋体" w:cs="宋体"/>
          <w:color w:val="auto"/>
          <w:highlight w:val="none"/>
        </w:rPr>
      </w:pPr>
      <w:r>
        <w:rPr>
          <w:rFonts w:hint="eastAsia" w:ascii="宋体" w:hAnsi="宋体" w:cs="宋体"/>
          <w:color w:val="auto"/>
          <w:highlight w:val="none"/>
        </w:rPr>
        <w:t>开户名称：</w:t>
      </w:r>
    </w:p>
    <w:p w14:paraId="7B737D5C">
      <w:pPr>
        <w:keepNext w:val="0"/>
        <w:keepLines w:val="0"/>
        <w:pageBreakBefore w:val="0"/>
        <w:kinsoku/>
        <w:overflowPunct/>
        <w:topLinePunct w:val="0"/>
        <w:bidi w:val="0"/>
        <w:snapToGrid w:val="0"/>
        <w:spacing w:line="360" w:lineRule="auto"/>
        <w:ind w:firstLine="4830"/>
        <w:textAlignment w:val="auto"/>
        <w:rPr>
          <w:rFonts w:ascii="宋体" w:hAnsi="宋体" w:cs="宋体"/>
          <w:color w:val="auto"/>
          <w:highlight w:val="none"/>
        </w:rPr>
      </w:pPr>
      <w:r>
        <w:rPr>
          <w:rFonts w:hint="eastAsia" w:ascii="宋体" w:hAnsi="宋体" w:cs="宋体"/>
          <w:color w:val="auto"/>
          <w:highlight w:val="none"/>
        </w:rPr>
        <w:t>银行账号：</w:t>
      </w:r>
    </w:p>
    <w:p w14:paraId="22177ADA">
      <w:pPr>
        <w:keepNext w:val="0"/>
        <w:keepLines w:val="0"/>
        <w:pageBreakBefore w:val="0"/>
        <w:kinsoku/>
        <w:overflowPunct/>
        <w:topLinePunct w:val="0"/>
        <w:bidi w:val="0"/>
        <w:snapToGrid w:val="0"/>
        <w:spacing w:line="360" w:lineRule="auto"/>
        <w:ind w:firstLine="4830"/>
        <w:textAlignment w:val="auto"/>
        <w:rPr>
          <w:rFonts w:ascii="宋体" w:hAnsi="宋体" w:cs="宋体"/>
          <w:color w:val="auto"/>
          <w:highlight w:val="none"/>
        </w:rPr>
      </w:pPr>
      <w:r>
        <w:rPr>
          <w:rFonts w:hint="eastAsia" w:ascii="宋体" w:hAnsi="宋体" w:cs="宋体"/>
          <w:color w:val="auto"/>
          <w:highlight w:val="none"/>
        </w:rPr>
        <w:t>开 户 行：</w:t>
      </w:r>
    </w:p>
    <w:p w14:paraId="70BBBC3F">
      <w:pPr>
        <w:autoSpaceDE/>
        <w:autoSpaceDN/>
        <w:snapToGrid w:val="0"/>
        <w:spacing w:line="360" w:lineRule="auto"/>
        <w:jc w:val="both"/>
        <w:outlineLvl w:val="0"/>
        <w:rPr>
          <w:rFonts w:ascii="宋体" w:hAnsi="宋体"/>
        </w:rPr>
      </w:pPr>
    </w:p>
    <w:p w14:paraId="07DBE2CE">
      <w:pPr>
        <w:pStyle w:val="17"/>
        <w:ind w:left="0" w:leftChars="0" w:firstLine="0" w:firstLineChars="0"/>
        <w:rPr>
          <w:rFonts w:hint="eastAsia"/>
        </w:rPr>
      </w:pPr>
    </w:p>
    <w:p w14:paraId="6321B8FA">
      <w:pPr>
        <w:pStyle w:val="17"/>
        <w:ind w:left="0" w:leftChars="0" w:firstLine="0" w:firstLineChars="0"/>
        <w:rPr>
          <w:rFonts w:hint="eastAsia"/>
        </w:rPr>
      </w:pPr>
    </w:p>
    <w:p w14:paraId="5C7634CD">
      <w:pPr>
        <w:pStyle w:val="17"/>
        <w:ind w:left="0" w:leftChars="0" w:firstLine="0" w:firstLineChars="0"/>
        <w:rPr>
          <w:rFonts w:hint="eastAsia"/>
        </w:rPr>
      </w:pPr>
    </w:p>
    <w:p w14:paraId="00E324E2">
      <w:pPr>
        <w:pStyle w:val="17"/>
        <w:ind w:left="0" w:leftChars="0" w:firstLine="0" w:firstLineChars="0"/>
        <w:rPr>
          <w:rFonts w:hint="eastAsia"/>
        </w:rPr>
      </w:pPr>
    </w:p>
    <w:p w14:paraId="53399FDA">
      <w:pPr>
        <w:pStyle w:val="17"/>
        <w:ind w:left="0" w:leftChars="0" w:firstLine="0" w:firstLineChars="0"/>
        <w:rPr>
          <w:rFonts w:hint="eastAsia"/>
        </w:rPr>
      </w:pPr>
    </w:p>
    <w:p w14:paraId="7ED29D5F">
      <w:pPr>
        <w:pStyle w:val="17"/>
        <w:ind w:left="0" w:leftChars="0" w:firstLine="0" w:firstLineChars="0"/>
        <w:rPr>
          <w:rFonts w:hint="eastAsia"/>
        </w:rPr>
      </w:pPr>
    </w:p>
    <w:p w14:paraId="5831CA03">
      <w:pPr>
        <w:pStyle w:val="17"/>
        <w:ind w:left="0" w:leftChars="0" w:firstLine="0" w:firstLineChars="0"/>
        <w:rPr>
          <w:rFonts w:hint="eastAsia"/>
        </w:rPr>
      </w:pPr>
    </w:p>
    <w:p w14:paraId="7D2D0A3C">
      <w:pPr>
        <w:pStyle w:val="17"/>
        <w:ind w:left="0" w:leftChars="0" w:firstLine="0" w:firstLineChars="0"/>
        <w:rPr>
          <w:rFonts w:hint="eastAsia"/>
        </w:rPr>
      </w:pPr>
    </w:p>
    <w:p w14:paraId="491E2940">
      <w:pPr>
        <w:pStyle w:val="17"/>
        <w:ind w:left="0" w:leftChars="0" w:firstLine="0" w:firstLineChars="0"/>
        <w:rPr>
          <w:rFonts w:hint="eastAsia"/>
        </w:rPr>
      </w:pPr>
    </w:p>
    <w:p w14:paraId="37927115">
      <w:pPr>
        <w:pStyle w:val="17"/>
        <w:ind w:left="0" w:leftChars="0" w:firstLine="0" w:firstLineChars="0"/>
        <w:rPr>
          <w:rFonts w:hint="eastAsia"/>
        </w:rPr>
      </w:pPr>
    </w:p>
    <w:p w14:paraId="6241631F">
      <w:pPr>
        <w:pStyle w:val="17"/>
        <w:ind w:left="0" w:leftChars="0" w:firstLine="0" w:firstLineChars="0"/>
        <w:rPr>
          <w:rFonts w:hint="eastAsia"/>
        </w:rPr>
      </w:pPr>
    </w:p>
    <w:p w14:paraId="6179CFEE">
      <w:pPr>
        <w:pStyle w:val="17"/>
        <w:ind w:left="0" w:leftChars="0" w:firstLine="0" w:firstLineChars="0"/>
        <w:rPr>
          <w:rFonts w:hint="eastAsia"/>
        </w:rPr>
      </w:pPr>
    </w:p>
    <w:p w14:paraId="1C894869">
      <w:pPr>
        <w:pStyle w:val="17"/>
        <w:ind w:left="0" w:leftChars="0" w:firstLine="0" w:firstLineChars="0"/>
        <w:rPr>
          <w:rFonts w:hint="eastAsia"/>
        </w:rPr>
      </w:pPr>
    </w:p>
    <w:bookmarkEnd w:id="9"/>
    <w:bookmarkEnd w:id="10"/>
    <w:bookmarkEnd w:id="17"/>
    <w:bookmarkEnd w:id="18"/>
    <w:bookmarkEnd w:id="35"/>
    <w:bookmarkEnd w:id="36"/>
    <w:p w14:paraId="2D6B9FBA">
      <w:pPr>
        <w:autoSpaceDE/>
        <w:autoSpaceDN/>
        <w:snapToGrid w:val="0"/>
        <w:spacing w:line="360" w:lineRule="auto"/>
        <w:jc w:val="center"/>
        <w:outlineLvl w:val="0"/>
        <w:rPr>
          <w:rFonts w:ascii="宋体" w:hAnsi="宋体"/>
          <w:b/>
          <w:bCs/>
          <w:sz w:val="28"/>
        </w:rPr>
      </w:pPr>
      <w:bookmarkStart w:id="37" w:name="_Toc416770251"/>
      <w:bookmarkStart w:id="38" w:name="_Toc25059"/>
      <w:bookmarkStart w:id="39" w:name="_Toc410736175"/>
      <w:bookmarkStart w:id="40" w:name="_Toc416771361"/>
      <w:bookmarkStart w:id="41" w:name="_Toc379872472"/>
      <w:bookmarkStart w:id="42" w:name="_Toc410738974"/>
      <w:r>
        <w:rPr>
          <w:rFonts w:hint="eastAsia" w:ascii="仿宋_GB2312" w:eastAsia="仿宋_GB2312"/>
          <w:b/>
          <w:bCs/>
          <w:sz w:val="28"/>
          <w:szCs w:val="28"/>
        </w:rPr>
        <w:t>第六章  响应文件格式</w:t>
      </w:r>
      <w:bookmarkEnd w:id="37"/>
      <w:bookmarkEnd w:id="38"/>
      <w:bookmarkEnd w:id="39"/>
      <w:bookmarkEnd w:id="40"/>
      <w:bookmarkEnd w:id="41"/>
      <w:bookmarkEnd w:id="42"/>
    </w:p>
    <w:p w14:paraId="58A14B44">
      <w:pPr>
        <w:pStyle w:val="3"/>
        <w:adjustRightInd w:val="0"/>
        <w:snapToGrid w:val="0"/>
        <w:spacing w:beforeLines="50" w:afterLines="50" w:line="360" w:lineRule="auto"/>
        <w:jc w:val="center"/>
        <w:rPr>
          <w:rFonts w:hint="eastAsia"/>
          <w:b w:val="0"/>
        </w:rPr>
      </w:pPr>
      <w:bookmarkStart w:id="43" w:name="_Toc410738975"/>
      <w:bookmarkStart w:id="44" w:name="_Toc416770252"/>
      <w:bookmarkStart w:id="45" w:name="_Toc416771362"/>
      <w:bookmarkStart w:id="46" w:name="_Toc410736176"/>
      <w:bookmarkStart w:id="47" w:name="_Toc275865604"/>
    </w:p>
    <w:p w14:paraId="086CF9CF">
      <w:pPr>
        <w:pStyle w:val="3"/>
        <w:adjustRightInd w:val="0"/>
        <w:snapToGrid w:val="0"/>
        <w:spacing w:beforeLines="50" w:afterLines="50" w:line="360" w:lineRule="auto"/>
        <w:jc w:val="center"/>
        <w:rPr>
          <w:b w:val="0"/>
        </w:rPr>
      </w:pPr>
      <w:r>
        <w:rPr>
          <w:rFonts w:hint="eastAsia"/>
          <w:b w:val="0"/>
        </w:rPr>
        <w:t>包装封面参考</w:t>
      </w:r>
      <w:bookmarkEnd w:id="43"/>
      <w:bookmarkEnd w:id="44"/>
      <w:bookmarkEnd w:id="45"/>
      <w:bookmarkEnd w:id="46"/>
    </w:p>
    <w:tbl>
      <w:tblPr>
        <w:tblStyle w:val="13"/>
        <w:tblW w:w="96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57"/>
      </w:tblGrid>
      <w:tr w14:paraId="12791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27" w:hRule="atLeast"/>
        </w:trPr>
        <w:tc>
          <w:tcPr>
            <w:tcW w:w="9657" w:type="dxa"/>
          </w:tcPr>
          <w:p w14:paraId="013D5E4E">
            <w:pPr>
              <w:pStyle w:val="6"/>
              <w:spacing w:line="360" w:lineRule="auto"/>
              <w:ind w:firstLine="482" w:firstLineChars="150"/>
              <w:rPr>
                <w:rFonts w:ascii="仿宋_GB2312" w:eastAsia="仿宋_GB2312"/>
                <w:b/>
                <w:sz w:val="32"/>
              </w:rPr>
            </w:pPr>
          </w:p>
          <w:p w14:paraId="62760CCE">
            <w:pPr>
              <w:pStyle w:val="6"/>
              <w:spacing w:line="360" w:lineRule="auto"/>
              <w:ind w:firstLine="482" w:firstLineChars="150"/>
              <w:rPr>
                <w:rFonts w:ascii="仿宋_GB2312" w:eastAsia="仿宋_GB2312"/>
                <w:b/>
                <w:sz w:val="32"/>
              </w:rPr>
            </w:pPr>
          </w:p>
          <w:p w14:paraId="6C16F407">
            <w:pPr>
              <w:pStyle w:val="6"/>
              <w:spacing w:line="360" w:lineRule="auto"/>
              <w:jc w:val="center"/>
              <w:rPr>
                <w:rFonts w:ascii="黑体" w:eastAsia="黑体"/>
                <w:b/>
                <w:sz w:val="72"/>
                <w:szCs w:val="72"/>
              </w:rPr>
            </w:pPr>
            <w:r>
              <w:rPr>
                <w:rFonts w:hint="eastAsia" w:ascii="黑体" w:eastAsia="黑体"/>
                <w:b/>
                <w:sz w:val="72"/>
                <w:szCs w:val="72"/>
              </w:rPr>
              <w:t>响 应 文 件</w:t>
            </w:r>
          </w:p>
          <w:p w14:paraId="4CAACE47">
            <w:pPr>
              <w:pStyle w:val="6"/>
              <w:spacing w:line="360" w:lineRule="auto"/>
              <w:jc w:val="center"/>
              <w:rPr>
                <w:rFonts w:ascii="黑体" w:eastAsia="黑体"/>
                <w:b/>
                <w:sz w:val="32"/>
              </w:rPr>
            </w:pPr>
            <w:r>
              <w:rPr>
                <w:rFonts w:hint="eastAsia" w:ascii="黑体" w:eastAsia="黑体"/>
                <w:b/>
                <w:sz w:val="52"/>
                <w:szCs w:val="52"/>
              </w:rPr>
              <w:t xml:space="preserve">口 </w:t>
            </w:r>
            <w:r>
              <w:rPr>
                <w:rFonts w:hint="eastAsia" w:ascii="黑体" w:eastAsia="黑体"/>
                <w:b/>
                <w:sz w:val="32"/>
              </w:rPr>
              <w:t>报价信封</w:t>
            </w:r>
          </w:p>
          <w:p w14:paraId="3AB630A9">
            <w:pPr>
              <w:pStyle w:val="6"/>
              <w:spacing w:line="360" w:lineRule="auto"/>
              <w:ind w:firstLine="3654" w:firstLineChars="700"/>
              <w:rPr>
                <w:rFonts w:ascii="黑体" w:eastAsia="黑体"/>
                <w:b/>
                <w:sz w:val="32"/>
              </w:rPr>
            </w:pPr>
            <w:r>
              <w:rPr>
                <w:rFonts w:hint="eastAsia" w:ascii="黑体" w:eastAsia="黑体"/>
                <w:b/>
                <w:sz w:val="52"/>
                <w:szCs w:val="52"/>
              </w:rPr>
              <w:t xml:space="preserve">口 </w:t>
            </w:r>
            <w:r>
              <w:rPr>
                <w:rFonts w:hint="eastAsia" w:ascii="黑体" w:eastAsia="黑体"/>
                <w:b/>
                <w:sz w:val="32"/>
              </w:rPr>
              <w:t>正本</w:t>
            </w:r>
          </w:p>
          <w:p w14:paraId="32CBA464">
            <w:pPr>
              <w:pStyle w:val="6"/>
              <w:spacing w:line="360" w:lineRule="auto"/>
              <w:ind w:firstLine="3654" w:firstLineChars="700"/>
              <w:rPr>
                <w:rFonts w:ascii="黑体" w:eastAsia="黑体"/>
                <w:b/>
                <w:sz w:val="32"/>
              </w:rPr>
            </w:pPr>
            <w:r>
              <w:rPr>
                <w:rFonts w:hint="eastAsia" w:ascii="黑体" w:eastAsia="黑体"/>
                <w:b/>
                <w:sz w:val="52"/>
                <w:szCs w:val="52"/>
              </w:rPr>
              <w:t xml:space="preserve">口 </w:t>
            </w:r>
            <w:r>
              <w:rPr>
                <w:rFonts w:hint="eastAsia" w:ascii="黑体" w:eastAsia="黑体"/>
                <w:b/>
                <w:sz w:val="32"/>
              </w:rPr>
              <w:t>副本</w:t>
            </w:r>
          </w:p>
          <w:p w14:paraId="4BEF30BC">
            <w:pPr>
              <w:pStyle w:val="6"/>
              <w:spacing w:line="360" w:lineRule="auto"/>
              <w:rPr>
                <w:rFonts w:ascii="仿宋_GB2312" w:eastAsia="仿宋_GB2312"/>
                <w:b/>
                <w:sz w:val="32"/>
              </w:rPr>
            </w:pPr>
          </w:p>
          <w:p w14:paraId="7467B9AC">
            <w:pPr>
              <w:pStyle w:val="6"/>
              <w:spacing w:line="360" w:lineRule="auto"/>
              <w:rPr>
                <w:rFonts w:ascii="仿宋_GB2312" w:eastAsia="仿宋_GB2312"/>
                <w:b/>
                <w:sz w:val="32"/>
              </w:rPr>
            </w:pPr>
          </w:p>
          <w:p w14:paraId="7E05AC15">
            <w:pPr>
              <w:pStyle w:val="6"/>
              <w:spacing w:line="400" w:lineRule="exact"/>
              <w:ind w:firstLine="281" w:firstLineChars="100"/>
              <w:rPr>
                <w:rFonts w:hint="eastAsia" w:ascii="仿宋_GB2312" w:eastAsia="仿宋_GB2312"/>
                <w:b/>
                <w:sz w:val="28"/>
                <w:szCs w:val="28"/>
                <w:lang w:eastAsia="zh-CN"/>
              </w:rPr>
            </w:pPr>
            <w:r>
              <w:rPr>
                <w:rFonts w:hint="eastAsia" w:ascii="仿宋_GB2312" w:eastAsia="仿宋_GB2312"/>
                <w:b/>
                <w:sz w:val="28"/>
                <w:szCs w:val="28"/>
              </w:rPr>
              <w:t>项目编号：</w:t>
            </w:r>
            <w:r>
              <w:rPr>
                <w:rFonts w:hint="eastAsia" w:ascii="仿宋_GB2312" w:eastAsia="仿宋_GB2312"/>
                <w:b/>
                <w:sz w:val="28"/>
                <w:szCs w:val="28"/>
                <w:lang w:eastAsia="zh-CN"/>
              </w:rPr>
              <w:t>GDQSST2024JC12002S</w:t>
            </w:r>
          </w:p>
          <w:p w14:paraId="3D0A985C">
            <w:pPr>
              <w:pStyle w:val="6"/>
              <w:spacing w:line="400" w:lineRule="exact"/>
              <w:ind w:left="1684" w:leftChars="133" w:hanging="1405" w:hangingChars="500"/>
              <w:rPr>
                <w:rFonts w:hint="eastAsia" w:ascii="仿宋_GB2312" w:eastAsia="仿宋_GB2312"/>
                <w:b/>
                <w:sz w:val="28"/>
                <w:szCs w:val="28"/>
                <w:lang w:eastAsia="zh-CN"/>
              </w:rPr>
            </w:pPr>
            <w:r>
              <w:rPr>
                <w:rFonts w:hint="eastAsia" w:ascii="仿宋_GB2312" w:eastAsia="仿宋_GB2312"/>
                <w:b/>
                <w:sz w:val="28"/>
                <w:szCs w:val="28"/>
              </w:rPr>
              <w:t>项目名称：</w:t>
            </w:r>
            <w:r>
              <w:rPr>
                <w:rFonts w:hint="eastAsia" w:ascii="仿宋_GB2312" w:eastAsia="仿宋_GB2312"/>
                <w:b/>
                <w:sz w:val="28"/>
                <w:szCs w:val="28"/>
                <w:lang w:eastAsia="zh-CN"/>
              </w:rPr>
              <w:t>南澳县博物馆消防维护修理及监控设备合并扩容项目</w:t>
            </w:r>
          </w:p>
          <w:p w14:paraId="142E3F11">
            <w:pPr>
              <w:pStyle w:val="6"/>
              <w:spacing w:line="400" w:lineRule="exact"/>
              <w:ind w:firstLine="281" w:firstLineChars="100"/>
              <w:rPr>
                <w:rFonts w:ascii="仿宋_GB2312" w:eastAsia="仿宋_GB2312"/>
                <w:b/>
                <w:sz w:val="28"/>
                <w:szCs w:val="28"/>
              </w:rPr>
            </w:pPr>
            <w:r>
              <w:rPr>
                <w:rFonts w:hint="eastAsia" w:ascii="仿宋_GB2312" w:eastAsia="仿宋_GB2312"/>
                <w:b/>
                <w:sz w:val="28"/>
                <w:szCs w:val="28"/>
              </w:rPr>
              <w:t>响应供应商名称：</w:t>
            </w:r>
          </w:p>
          <w:p w14:paraId="39696C40">
            <w:pPr>
              <w:pStyle w:val="6"/>
              <w:spacing w:line="400" w:lineRule="exact"/>
              <w:ind w:firstLine="281" w:firstLineChars="100"/>
              <w:rPr>
                <w:rFonts w:ascii="仿宋_GB2312" w:eastAsia="仿宋_GB2312"/>
                <w:b/>
                <w:sz w:val="28"/>
                <w:szCs w:val="28"/>
              </w:rPr>
            </w:pPr>
            <w:r>
              <w:rPr>
                <w:rFonts w:hint="eastAsia" w:ascii="仿宋_GB2312" w:eastAsia="仿宋_GB2312"/>
                <w:b/>
                <w:sz w:val="28"/>
                <w:szCs w:val="28"/>
              </w:rPr>
              <w:t>响应供应商地址：</w:t>
            </w:r>
          </w:p>
          <w:p w14:paraId="7B8EEB47">
            <w:pPr>
              <w:pStyle w:val="6"/>
              <w:spacing w:line="400" w:lineRule="exact"/>
              <w:ind w:firstLine="1037" w:firstLineChars="369"/>
              <w:rPr>
                <w:rFonts w:ascii="仿宋_GB2312" w:eastAsia="仿宋_GB2312"/>
                <w:b/>
                <w:sz w:val="28"/>
                <w:szCs w:val="28"/>
              </w:rPr>
            </w:pPr>
          </w:p>
          <w:p w14:paraId="7FA01FD3">
            <w:pPr>
              <w:pStyle w:val="6"/>
              <w:spacing w:line="400" w:lineRule="exact"/>
              <w:ind w:firstLine="1185" w:firstLineChars="369"/>
              <w:rPr>
                <w:rFonts w:ascii="仿宋_GB2312" w:eastAsia="仿宋_GB2312"/>
                <w:b/>
                <w:sz w:val="32"/>
              </w:rPr>
            </w:pPr>
          </w:p>
        </w:tc>
      </w:tr>
    </w:tbl>
    <w:p w14:paraId="7BB157F8">
      <w:bookmarkStart w:id="48" w:name="_Toc416771363"/>
      <w:bookmarkStart w:id="49" w:name="_Toc416770253"/>
      <w:bookmarkStart w:id="50" w:name="_Toc410738976"/>
      <w:bookmarkStart w:id="51" w:name="_Toc410736177"/>
    </w:p>
    <w:p w14:paraId="2A987332">
      <w:pPr>
        <w:autoSpaceDE/>
        <w:autoSpaceDN/>
        <w:adjustRightInd/>
        <w:jc w:val="center"/>
        <w:outlineLvl w:val="2"/>
      </w:pPr>
      <w:r>
        <w:rPr>
          <w:rFonts w:hint="eastAsia" w:ascii="仿宋_GB2312" w:eastAsia="仿宋_GB2312"/>
          <w:b/>
          <w:kern w:val="2"/>
          <w:sz w:val="28"/>
          <w:szCs w:val="28"/>
        </w:rPr>
        <w:t>响应文件目录表</w:t>
      </w:r>
      <w:bookmarkEnd w:id="47"/>
      <w:bookmarkEnd w:id="48"/>
      <w:bookmarkEnd w:id="49"/>
      <w:bookmarkEnd w:id="50"/>
      <w:bookmarkEnd w:id="51"/>
    </w:p>
    <w:p w14:paraId="4411E85A">
      <w:pPr>
        <w:rPr>
          <w:rFonts w:hint="eastAsia" w:ascii="宋体" w:hAnsi="宋体"/>
        </w:rPr>
      </w:pPr>
      <w:r>
        <w:rPr>
          <w:rFonts w:hint="eastAsia" w:ascii="宋体" w:hAnsi="宋体"/>
          <w:b/>
          <w:bCs/>
        </w:rPr>
        <w:t>说明：响应文件包括但不限于以下组成内容，请按顺序制作，本章有提供格式文件的请按格式要求提交。</w:t>
      </w:r>
      <w:r>
        <w:rPr>
          <w:rFonts w:hint="eastAsia" w:ascii="宋体" w:hAnsi="宋体"/>
        </w:rPr>
        <w:t>项目名称：</w:t>
      </w:r>
      <w:r>
        <w:rPr>
          <w:rFonts w:hint="eastAsia" w:ascii="宋体" w:hAnsi="宋体"/>
          <w:lang w:eastAsia="zh-CN"/>
        </w:rPr>
        <w:t>南澳县博物馆消防维护修理及监控设备合并扩容项目</w:t>
      </w:r>
      <w:r>
        <w:rPr>
          <w:rFonts w:hint="eastAsia" w:ascii="宋体" w:hAnsi="宋体"/>
        </w:rPr>
        <w:t xml:space="preserve">  </w:t>
      </w:r>
    </w:p>
    <w:p w14:paraId="19A37915">
      <w:pPr>
        <w:rPr>
          <w:rFonts w:hint="eastAsia" w:ascii="宋体" w:hAnsi="宋体" w:eastAsia="宋体"/>
          <w:lang w:eastAsia="zh-CN"/>
        </w:rPr>
      </w:pPr>
      <w:r>
        <w:rPr>
          <w:rFonts w:hint="eastAsia" w:ascii="宋体" w:hAnsi="宋体"/>
        </w:rPr>
        <w:t>项目编号：</w:t>
      </w:r>
      <w:r>
        <w:rPr>
          <w:rFonts w:hint="eastAsia" w:ascii="宋体" w:hAnsi="宋体"/>
          <w:lang w:eastAsia="zh-CN"/>
        </w:rPr>
        <w:t>GDQSST2024JC12002S</w:t>
      </w:r>
    </w:p>
    <w:p w14:paraId="6DC87466">
      <w:pPr>
        <w:spacing w:line="440" w:lineRule="exact"/>
        <w:rPr>
          <w:rFonts w:ascii="黑体" w:eastAsia="黑体"/>
          <w:bCs/>
          <w:sz w:val="28"/>
        </w:rPr>
        <w:sectPr>
          <w:footerReference r:id="rId6" w:type="default"/>
          <w:type w:val="continuous"/>
          <w:pgSz w:w="11907" w:h="16839"/>
          <w:pgMar w:top="1134" w:right="1134" w:bottom="1134" w:left="1134" w:header="699" w:footer="601" w:gutter="0"/>
          <w:cols w:space="425" w:num="1"/>
          <w:docGrid w:type="lines" w:linePitch="312" w:charSpace="0"/>
        </w:sectPr>
      </w:pPr>
    </w:p>
    <w:tbl>
      <w:tblPr>
        <w:tblStyle w:val="13"/>
        <w:tblW w:w="961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74"/>
        <w:gridCol w:w="5647"/>
        <w:gridCol w:w="772"/>
        <w:gridCol w:w="732"/>
        <w:gridCol w:w="896"/>
        <w:gridCol w:w="897"/>
      </w:tblGrid>
      <w:tr w14:paraId="0BCA28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03" w:hRule="atLeast"/>
        </w:trPr>
        <w:tc>
          <w:tcPr>
            <w:tcW w:w="674" w:type="dxa"/>
            <w:vMerge w:val="restart"/>
            <w:shd w:val="clear" w:color="auto" w:fill="EEECE1"/>
            <w:vAlign w:val="center"/>
          </w:tcPr>
          <w:p w14:paraId="2D2650F5">
            <w:pPr>
              <w:ind w:left="-88" w:leftChars="-42" w:right="-82" w:rightChars="-39"/>
              <w:jc w:val="center"/>
              <w:rPr>
                <w:rFonts w:ascii="宋体" w:hAnsi="宋体"/>
                <w:b/>
              </w:rPr>
            </w:pPr>
            <w:r>
              <w:rPr>
                <w:rFonts w:ascii="黑体" w:eastAsia="黑体"/>
                <w:bCs/>
                <w:sz w:val="28"/>
              </w:rPr>
              <w:br w:type="page"/>
            </w:r>
            <w:r>
              <w:rPr>
                <w:rFonts w:hint="eastAsia" w:ascii="宋体" w:hAnsi="宋体"/>
                <w:b/>
              </w:rPr>
              <w:t>序号</w:t>
            </w:r>
          </w:p>
        </w:tc>
        <w:tc>
          <w:tcPr>
            <w:tcW w:w="5647" w:type="dxa"/>
            <w:vMerge w:val="restart"/>
            <w:shd w:val="clear" w:color="auto" w:fill="EEECE1"/>
            <w:vAlign w:val="center"/>
          </w:tcPr>
          <w:p w14:paraId="1BA38A87">
            <w:pPr>
              <w:jc w:val="center"/>
              <w:rPr>
                <w:rFonts w:ascii="宋体" w:hAnsi="宋体"/>
                <w:b/>
              </w:rPr>
            </w:pPr>
            <w:r>
              <w:rPr>
                <w:rFonts w:hint="eastAsia" w:ascii="宋体" w:hAnsi="宋体"/>
                <w:b/>
              </w:rPr>
              <w:t>文    件    名    称</w:t>
            </w:r>
          </w:p>
        </w:tc>
        <w:tc>
          <w:tcPr>
            <w:tcW w:w="1504" w:type="dxa"/>
            <w:gridSpan w:val="2"/>
            <w:shd w:val="clear" w:color="auto" w:fill="EEECE1"/>
            <w:vAlign w:val="center"/>
          </w:tcPr>
          <w:p w14:paraId="4CDEE883">
            <w:pPr>
              <w:jc w:val="center"/>
              <w:rPr>
                <w:rFonts w:ascii="宋体" w:hAnsi="宋体"/>
                <w:b/>
              </w:rPr>
            </w:pPr>
            <w:r>
              <w:rPr>
                <w:rFonts w:hint="eastAsia" w:ascii="宋体" w:hAnsi="宋体"/>
                <w:b/>
              </w:rPr>
              <w:t>提交情况</w:t>
            </w:r>
          </w:p>
        </w:tc>
        <w:tc>
          <w:tcPr>
            <w:tcW w:w="896" w:type="dxa"/>
            <w:vMerge w:val="restart"/>
            <w:shd w:val="clear" w:color="auto" w:fill="EEECE1"/>
            <w:vAlign w:val="center"/>
          </w:tcPr>
          <w:p w14:paraId="168A8F92">
            <w:pPr>
              <w:jc w:val="center"/>
              <w:rPr>
                <w:rFonts w:ascii="宋体" w:hAnsi="宋体"/>
                <w:b/>
              </w:rPr>
            </w:pPr>
            <w:r>
              <w:rPr>
                <w:rFonts w:hint="eastAsia" w:ascii="宋体" w:hAnsi="宋体"/>
                <w:b/>
              </w:rPr>
              <w:t>页码范围</w:t>
            </w:r>
          </w:p>
        </w:tc>
        <w:tc>
          <w:tcPr>
            <w:tcW w:w="897" w:type="dxa"/>
            <w:vMerge w:val="restart"/>
            <w:shd w:val="clear" w:color="auto" w:fill="EEECE1"/>
            <w:vAlign w:val="center"/>
          </w:tcPr>
          <w:p w14:paraId="6E40C9EA">
            <w:pPr>
              <w:jc w:val="center"/>
              <w:rPr>
                <w:rFonts w:ascii="宋体" w:hAnsi="宋体"/>
                <w:b/>
              </w:rPr>
            </w:pPr>
            <w:r>
              <w:rPr>
                <w:rFonts w:hint="eastAsia" w:ascii="宋体" w:hAnsi="宋体"/>
                <w:b/>
              </w:rPr>
              <w:t>备注</w:t>
            </w:r>
          </w:p>
        </w:tc>
      </w:tr>
      <w:tr w14:paraId="26D70D9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7" w:hRule="atLeast"/>
        </w:trPr>
        <w:tc>
          <w:tcPr>
            <w:tcW w:w="674" w:type="dxa"/>
            <w:vMerge w:val="continue"/>
            <w:shd w:val="clear" w:color="auto" w:fill="EEECE1"/>
            <w:vAlign w:val="center"/>
          </w:tcPr>
          <w:p w14:paraId="16EA1E45">
            <w:pPr>
              <w:rPr>
                <w:rFonts w:ascii="宋体" w:hAnsi="宋体"/>
              </w:rPr>
            </w:pPr>
          </w:p>
        </w:tc>
        <w:tc>
          <w:tcPr>
            <w:tcW w:w="5647" w:type="dxa"/>
            <w:vMerge w:val="continue"/>
            <w:shd w:val="clear" w:color="auto" w:fill="EEECE1"/>
            <w:vAlign w:val="center"/>
          </w:tcPr>
          <w:p w14:paraId="49E0EAE5">
            <w:pPr>
              <w:rPr>
                <w:rFonts w:ascii="宋体" w:hAnsi="宋体"/>
              </w:rPr>
            </w:pPr>
          </w:p>
        </w:tc>
        <w:tc>
          <w:tcPr>
            <w:tcW w:w="772" w:type="dxa"/>
            <w:shd w:val="clear" w:color="auto" w:fill="EEECE1"/>
            <w:vAlign w:val="center"/>
          </w:tcPr>
          <w:p w14:paraId="51A269E2">
            <w:pPr>
              <w:jc w:val="center"/>
              <w:rPr>
                <w:rFonts w:ascii="宋体" w:hAnsi="宋体"/>
                <w:b/>
              </w:rPr>
            </w:pPr>
            <w:r>
              <w:rPr>
                <w:rFonts w:hint="eastAsia" w:ascii="宋体" w:hAnsi="宋体"/>
                <w:b/>
              </w:rPr>
              <w:t>有</w:t>
            </w:r>
          </w:p>
        </w:tc>
        <w:tc>
          <w:tcPr>
            <w:tcW w:w="732" w:type="dxa"/>
            <w:shd w:val="clear" w:color="auto" w:fill="EEECE1"/>
            <w:vAlign w:val="center"/>
          </w:tcPr>
          <w:p w14:paraId="3D8175D7">
            <w:pPr>
              <w:jc w:val="center"/>
              <w:rPr>
                <w:rFonts w:ascii="宋体" w:hAnsi="宋体"/>
                <w:b/>
              </w:rPr>
            </w:pPr>
            <w:r>
              <w:rPr>
                <w:rFonts w:hint="eastAsia" w:ascii="宋体" w:hAnsi="宋体"/>
                <w:b/>
              </w:rPr>
              <w:t>无</w:t>
            </w:r>
          </w:p>
        </w:tc>
        <w:tc>
          <w:tcPr>
            <w:tcW w:w="896" w:type="dxa"/>
            <w:vMerge w:val="continue"/>
            <w:shd w:val="clear" w:color="auto" w:fill="EEECE1"/>
            <w:vAlign w:val="center"/>
          </w:tcPr>
          <w:p w14:paraId="136B6AAC">
            <w:pPr>
              <w:jc w:val="center"/>
              <w:rPr>
                <w:rFonts w:ascii="宋体" w:hAnsi="宋体"/>
              </w:rPr>
            </w:pPr>
          </w:p>
        </w:tc>
        <w:tc>
          <w:tcPr>
            <w:tcW w:w="897" w:type="dxa"/>
            <w:vMerge w:val="continue"/>
            <w:shd w:val="clear" w:color="auto" w:fill="EEECE1"/>
            <w:vAlign w:val="center"/>
          </w:tcPr>
          <w:p w14:paraId="25CB26EA">
            <w:pPr>
              <w:jc w:val="center"/>
              <w:rPr>
                <w:rFonts w:ascii="宋体" w:hAnsi="宋体"/>
              </w:rPr>
            </w:pPr>
          </w:p>
        </w:tc>
      </w:tr>
      <w:tr w14:paraId="22B25DB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9618" w:type="dxa"/>
            <w:gridSpan w:val="6"/>
            <w:vAlign w:val="center"/>
          </w:tcPr>
          <w:p w14:paraId="7B3BB68D">
            <w:pPr>
              <w:jc w:val="center"/>
              <w:rPr>
                <w:rFonts w:ascii="宋体" w:hAnsi="宋体"/>
              </w:rPr>
            </w:pPr>
            <w:r>
              <w:rPr>
                <w:rFonts w:hint="eastAsia" w:ascii="宋体" w:hAnsi="宋体"/>
              </w:rPr>
              <w:t>一、</w:t>
            </w:r>
            <w:r>
              <w:rPr>
                <w:rFonts w:hint="eastAsia" w:ascii="宋体" w:hAnsi="宋体"/>
                <w:b/>
              </w:rPr>
              <w:t>初审文件</w:t>
            </w:r>
          </w:p>
        </w:tc>
      </w:tr>
      <w:tr w14:paraId="46F97C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59772C5B">
            <w:pPr>
              <w:numPr>
                <w:ilvl w:val="0"/>
                <w:numId w:val="18"/>
              </w:numPr>
              <w:autoSpaceDE/>
              <w:autoSpaceDN/>
              <w:adjustRightInd/>
              <w:jc w:val="center"/>
              <w:rPr>
                <w:rFonts w:ascii="宋体" w:hAnsi="宋体"/>
              </w:rPr>
            </w:pPr>
          </w:p>
        </w:tc>
        <w:tc>
          <w:tcPr>
            <w:tcW w:w="5647" w:type="dxa"/>
            <w:vAlign w:val="center"/>
          </w:tcPr>
          <w:p w14:paraId="564FA3EE">
            <w:pPr>
              <w:pStyle w:val="7"/>
              <w:rPr>
                <w:rFonts w:hAnsi="宋体"/>
                <w:kern w:val="0"/>
              </w:rPr>
            </w:pPr>
            <w:r>
              <w:rPr>
                <w:rFonts w:hint="eastAsia" w:hAnsi="宋体"/>
                <w:kern w:val="0"/>
              </w:rPr>
              <w:t>磋商函</w:t>
            </w:r>
          </w:p>
        </w:tc>
        <w:tc>
          <w:tcPr>
            <w:tcW w:w="772" w:type="dxa"/>
            <w:vAlign w:val="center"/>
          </w:tcPr>
          <w:p w14:paraId="6B6B2E68">
            <w:pPr>
              <w:jc w:val="center"/>
              <w:rPr>
                <w:rFonts w:ascii="宋体" w:hAnsi="宋体"/>
              </w:rPr>
            </w:pPr>
          </w:p>
        </w:tc>
        <w:tc>
          <w:tcPr>
            <w:tcW w:w="732" w:type="dxa"/>
            <w:vAlign w:val="center"/>
          </w:tcPr>
          <w:p w14:paraId="0C6FF72F">
            <w:pPr>
              <w:jc w:val="center"/>
              <w:rPr>
                <w:rFonts w:ascii="宋体" w:hAnsi="宋体"/>
              </w:rPr>
            </w:pPr>
          </w:p>
        </w:tc>
        <w:tc>
          <w:tcPr>
            <w:tcW w:w="896" w:type="dxa"/>
            <w:shd w:val="clear" w:color="auto" w:fill="EEECE1"/>
            <w:vAlign w:val="center"/>
          </w:tcPr>
          <w:p w14:paraId="6A640D97">
            <w:pPr>
              <w:jc w:val="center"/>
              <w:rPr>
                <w:rFonts w:ascii="宋体" w:hAnsi="宋体"/>
              </w:rPr>
            </w:pPr>
          </w:p>
        </w:tc>
        <w:tc>
          <w:tcPr>
            <w:tcW w:w="897" w:type="dxa"/>
            <w:shd w:val="clear" w:color="auto" w:fill="EEECE1"/>
            <w:vAlign w:val="center"/>
          </w:tcPr>
          <w:p w14:paraId="56907784">
            <w:pPr>
              <w:jc w:val="center"/>
              <w:rPr>
                <w:rFonts w:ascii="宋体" w:hAnsi="宋体"/>
              </w:rPr>
            </w:pPr>
          </w:p>
        </w:tc>
      </w:tr>
      <w:tr w14:paraId="57F768E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4" w:hRule="atLeast"/>
        </w:trPr>
        <w:tc>
          <w:tcPr>
            <w:tcW w:w="674" w:type="dxa"/>
            <w:vAlign w:val="center"/>
          </w:tcPr>
          <w:p w14:paraId="25E154C0">
            <w:pPr>
              <w:numPr>
                <w:ilvl w:val="0"/>
                <w:numId w:val="18"/>
              </w:numPr>
              <w:autoSpaceDE/>
              <w:autoSpaceDN/>
              <w:adjustRightInd/>
              <w:jc w:val="center"/>
              <w:rPr>
                <w:rFonts w:ascii="宋体" w:hAnsi="宋体"/>
              </w:rPr>
            </w:pPr>
          </w:p>
        </w:tc>
        <w:tc>
          <w:tcPr>
            <w:tcW w:w="5647" w:type="dxa"/>
            <w:vAlign w:val="center"/>
          </w:tcPr>
          <w:p w14:paraId="7CF67A8B">
            <w:pPr>
              <w:pStyle w:val="7"/>
              <w:rPr>
                <w:rFonts w:hAnsi="宋体"/>
              </w:rPr>
            </w:pPr>
            <w:r>
              <w:rPr>
                <w:rFonts w:hint="eastAsia" w:hAnsi="宋体"/>
                <w:kern w:val="0"/>
              </w:rPr>
              <w:t>响应供应商资格声明函</w:t>
            </w:r>
          </w:p>
        </w:tc>
        <w:tc>
          <w:tcPr>
            <w:tcW w:w="772" w:type="dxa"/>
            <w:vAlign w:val="center"/>
          </w:tcPr>
          <w:p w14:paraId="1FEB2E8D">
            <w:pPr>
              <w:jc w:val="center"/>
              <w:rPr>
                <w:rFonts w:ascii="宋体" w:hAnsi="宋体"/>
              </w:rPr>
            </w:pPr>
          </w:p>
        </w:tc>
        <w:tc>
          <w:tcPr>
            <w:tcW w:w="732" w:type="dxa"/>
            <w:vAlign w:val="center"/>
          </w:tcPr>
          <w:p w14:paraId="7A20E67C">
            <w:pPr>
              <w:jc w:val="center"/>
              <w:rPr>
                <w:rFonts w:ascii="宋体" w:hAnsi="宋体"/>
              </w:rPr>
            </w:pPr>
          </w:p>
        </w:tc>
        <w:tc>
          <w:tcPr>
            <w:tcW w:w="896" w:type="dxa"/>
            <w:shd w:val="clear" w:color="auto" w:fill="EEECE1"/>
            <w:vAlign w:val="center"/>
          </w:tcPr>
          <w:p w14:paraId="558B2F30">
            <w:pPr>
              <w:jc w:val="center"/>
              <w:rPr>
                <w:rFonts w:ascii="宋体" w:hAnsi="宋体"/>
              </w:rPr>
            </w:pPr>
          </w:p>
        </w:tc>
        <w:tc>
          <w:tcPr>
            <w:tcW w:w="897" w:type="dxa"/>
            <w:shd w:val="clear" w:color="auto" w:fill="EEECE1"/>
            <w:vAlign w:val="center"/>
          </w:tcPr>
          <w:p w14:paraId="1B718E49">
            <w:pPr>
              <w:jc w:val="center"/>
              <w:rPr>
                <w:rFonts w:ascii="宋体" w:hAnsi="宋体"/>
              </w:rPr>
            </w:pPr>
          </w:p>
        </w:tc>
      </w:tr>
      <w:tr w14:paraId="1C6FE2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14:paraId="3B791B82">
            <w:pPr>
              <w:numPr>
                <w:ilvl w:val="0"/>
                <w:numId w:val="18"/>
              </w:numPr>
              <w:autoSpaceDE/>
              <w:autoSpaceDN/>
              <w:adjustRightInd/>
              <w:jc w:val="center"/>
              <w:rPr>
                <w:rFonts w:ascii="宋体" w:hAnsi="宋体"/>
              </w:rPr>
            </w:pPr>
          </w:p>
        </w:tc>
        <w:tc>
          <w:tcPr>
            <w:tcW w:w="5647" w:type="dxa"/>
            <w:vAlign w:val="center"/>
          </w:tcPr>
          <w:p w14:paraId="5E9E1735">
            <w:pPr>
              <w:autoSpaceDE/>
              <w:autoSpaceDN/>
              <w:adjustRightInd/>
              <w:snapToGrid w:val="0"/>
              <w:spacing w:line="276" w:lineRule="auto"/>
              <w:jc w:val="both"/>
              <w:rPr>
                <w:rFonts w:hAnsi="宋体"/>
                <w:strike/>
              </w:rPr>
            </w:pPr>
            <w:r>
              <w:rPr>
                <w:rFonts w:hint="eastAsia" w:cs="Times New Roman" w:asciiTheme="minorEastAsia" w:hAnsiTheme="minorEastAsia" w:eastAsiaTheme="minorEastAsia"/>
              </w:rPr>
              <w:t>提供在中华人民共和国境内注册的法人或其他组织的营业执照（或事业单位法人证书，或社会团体法人登记证书）、组织机构代码证、税务登记证【如已办理了多证合一，则仅需提供合证后的营业执照】，如供应商为自然人的需提供自然人身份证明；（如供应商为分支机构，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c>
          <w:tcPr>
            <w:tcW w:w="772" w:type="dxa"/>
            <w:vAlign w:val="center"/>
          </w:tcPr>
          <w:p w14:paraId="00DE640F">
            <w:pPr>
              <w:jc w:val="center"/>
              <w:rPr>
                <w:rFonts w:ascii="宋体" w:hAnsi="宋体"/>
              </w:rPr>
            </w:pPr>
          </w:p>
        </w:tc>
        <w:tc>
          <w:tcPr>
            <w:tcW w:w="732" w:type="dxa"/>
            <w:vAlign w:val="center"/>
          </w:tcPr>
          <w:p w14:paraId="38A46C4D">
            <w:pPr>
              <w:jc w:val="center"/>
              <w:rPr>
                <w:rFonts w:ascii="宋体" w:hAnsi="宋体"/>
              </w:rPr>
            </w:pPr>
          </w:p>
        </w:tc>
        <w:tc>
          <w:tcPr>
            <w:tcW w:w="896" w:type="dxa"/>
            <w:shd w:val="clear" w:color="auto" w:fill="EEECE1"/>
            <w:vAlign w:val="center"/>
          </w:tcPr>
          <w:p w14:paraId="726950E3">
            <w:pPr>
              <w:jc w:val="center"/>
              <w:rPr>
                <w:rFonts w:ascii="宋体" w:hAnsi="宋体"/>
              </w:rPr>
            </w:pPr>
          </w:p>
        </w:tc>
        <w:tc>
          <w:tcPr>
            <w:tcW w:w="897" w:type="dxa"/>
            <w:shd w:val="clear" w:color="auto" w:fill="EEECE1"/>
            <w:vAlign w:val="center"/>
          </w:tcPr>
          <w:p w14:paraId="1F436B1D">
            <w:pPr>
              <w:jc w:val="center"/>
              <w:rPr>
                <w:rFonts w:ascii="宋体" w:hAnsi="宋体"/>
              </w:rPr>
            </w:pPr>
          </w:p>
        </w:tc>
      </w:tr>
      <w:tr w14:paraId="129189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71" w:hRule="atLeast"/>
        </w:trPr>
        <w:tc>
          <w:tcPr>
            <w:tcW w:w="674" w:type="dxa"/>
            <w:vAlign w:val="center"/>
          </w:tcPr>
          <w:p w14:paraId="637304FE">
            <w:pPr>
              <w:numPr>
                <w:ilvl w:val="0"/>
                <w:numId w:val="18"/>
              </w:numPr>
              <w:autoSpaceDE/>
              <w:autoSpaceDN/>
              <w:adjustRightInd/>
              <w:jc w:val="center"/>
              <w:rPr>
                <w:rFonts w:ascii="宋体" w:hAnsi="宋体"/>
              </w:rPr>
            </w:pPr>
          </w:p>
        </w:tc>
        <w:tc>
          <w:tcPr>
            <w:tcW w:w="5647" w:type="dxa"/>
            <w:vAlign w:val="center"/>
          </w:tcPr>
          <w:p w14:paraId="3060DBD0">
            <w:pPr>
              <w:autoSpaceDE/>
              <w:autoSpaceDN/>
              <w:adjustRightInd/>
              <w:snapToGrid w:val="0"/>
              <w:spacing w:line="276" w:lineRule="auto"/>
              <w:jc w:val="both"/>
              <w:rPr>
                <w:rFonts w:ascii="宋体" w:hAnsi="宋体"/>
                <w:strike/>
                <w:kern w:val="2"/>
              </w:rPr>
            </w:pPr>
            <w:r>
              <w:rPr>
                <w:rFonts w:hint="eastAsia" w:asciiTheme="minorEastAsia" w:hAnsiTheme="minorEastAsia" w:eastAsiaTheme="minorEastAsia"/>
              </w:rPr>
              <w:t>提供</w:t>
            </w:r>
            <w:r>
              <w:rPr>
                <w:rFonts w:hint="eastAsia" w:asciiTheme="minorEastAsia" w:hAnsiTheme="minorEastAsia" w:eastAsiaTheme="minorEastAsia"/>
                <w:lang w:val="en-US" w:eastAsia="zh-CN"/>
              </w:rPr>
              <w:t>2023年度</w:t>
            </w:r>
            <w:r>
              <w:rPr>
                <w:rFonts w:hint="eastAsia" w:asciiTheme="minorEastAsia" w:hAnsiTheme="minorEastAsia" w:eastAsiaTheme="minorEastAsia"/>
              </w:rPr>
              <w:t>财务状况报告或财务报表或近期银行出具的资信证明（202</w:t>
            </w:r>
            <w:r>
              <w:rPr>
                <w:rFonts w:hint="eastAsia" w:asciiTheme="minorEastAsia" w:hAnsiTheme="minorEastAsia" w:eastAsiaTheme="minorEastAsia"/>
                <w:lang w:val="en-US" w:eastAsia="zh-CN"/>
              </w:rPr>
              <w:t>4</w:t>
            </w:r>
            <w:r>
              <w:rPr>
                <w:rFonts w:hint="eastAsia" w:asciiTheme="minorEastAsia" w:hAnsiTheme="minorEastAsia" w:eastAsiaTheme="minorEastAsia"/>
              </w:rPr>
              <w:t>年1月1日之后成立的单位只须提供成立至今的财务报表或基本户银行出具的近期资信证明）材料复印件</w:t>
            </w:r>
            <w:r>
              <w:rPr>
                <w:rFonts w:hint="eastAsia" w:asciiTheme="minorEastAsia" w:hAnsiTheme="minorEastAsia" w:eastAsiaTheme="minorEastAsia"/>
                <w:lang w:val="en-US" w:eastAsia="zh-CN"/>
              </w:rPr>
              <w:t>(或提供汕头市政府采购供应商信用承诺函)</w:t>
            </w:r>
            <w:r>
              <w:rPr>
                <w:rFonts w:hint="eastAsia" w:asciiTheme="minorEastAsia" w:hAnsiTheme="minorEastAsia" w:eastAsiaTheme="minorEastAsia"/>
              </w:rPr>
              <w:t>；</w:t>
            </w:r>
          </w:p>
        </w:tc>
        <w:tc>
          <w:tcPr>
            <w:tcW w:w="772" w:type="dxa"/>
            <w:vAlign w:val="center"/>
          </w:tcPr>
          <w:p w14:paraId="20046D6A">
            <w:pPr>
              <w:jc w:val="center"/>
              <w:rPr>
                <w:rFonts w:ascii="宋体" w:hAnsi="宋体"/>
              </w:rPr>
            </w:pPr>
          </w:p>
        </w:tc>
        <w:tc>
          <w:tcPr>
            <w:tcW w:w="732" w:type="dxa"/>
            <w:vAlign w:val="center"/>
          </w:tcPr>
          <w:p w14:paraId="4590A6C6">
            <w:pPr>
              <w:jc w:val="center"/>
              <w:rPr>
                <w:rFonts w:ascii="宋体" w:hAnsi="宋体"/>
              </w:rPr>
            </w:pPr>
          </w:p>
        </w:tc>
        <w:tc>
          <w:tcPr>
            <w:tcW w:w="896" w:type="dxa"/>
            <w:shd w:val="clear" w:color="auto" w:fill="EEECE1"/>
            <w:vAlign w:val="center"/>
          </w:tcPr>
          <w:p w14:paraId="353DD046">
            <w:pPr>
              <w:jc w:val="center"/>
              <w:rPr>
                <w:rFonts w:ascii="宋体" w:hAnsi="宋体"/>
              </w:rPr>
            </w:pPr>
          </w:p>
        </w:tc>
        <w:tc>
          <w:tcPr>
            <w:tcW w:w="897" w:type="dxa"/>
            <w:shd w:val="clear" w:color="auto" w:fill="EEECE1"/>
            <w:vAlign w:val="center"/>
          </w:tcPr>
          <w:p w14:paraId="402D0589">
            <w:pPr>
              <w:jc w:val="center"/>
              <w:rPr>
                <w:rFonts w:ascii="宋体" w:hAnsi="宋体"/>
              </w:rPr>
            </w:pPr>
          </w:p>
        </w:tc>
      </w:tr>
      <w:tr w14:paraId="348B18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14:paraId="677E7A5B">
            <w:pPr>
              <w:numPr>
                <w:ilvl w:val="0"/>
                <w:numId w:val="18"/>
              </w:numPr>
              <w:autoSpaceDE/>
              <w:autoSpaceDN/>
              <w:adjustRightInd/>
              <w:jc w:val="center"/>
              <w:rPr>
                <w:rFonts w:ascii="宋体" w:hAnsi="宋体"/>
              </w:rPr>
            </w:pPr>
          </w:p>
        </w:tc>
        <w:tc>
          <w:tcPr>
            <w:tcW w:w="5647" w:type="dxa"/>
            <w:vAlign w:val="center"/>
          </w:tcPr>
          <w:p w14:paraId="601EF761">
            <w:pPr>
              <w:autoSpaceDE/>
              <w:autoSpaceDN/>
              <w:adjustRightInd/>
              <w:snapToGrid w:val="0"/>
              <w:spacing w:line="276" w:lineRule="auto"/>
              <w:jc w:val="both"/>
              <w:rPr>
                <w:rFonts w:ascii="宋体" w:hAnsi="宋体"/>
                <w:strike/>
                <w:kern w:val="2"/>
              </w:rPr>
            </w:pPr>
            <w:r>
              <w:rPr>
                <w:rFonts w:hint="eastAsia" w:asciiTheme="minorEastAsia" w:hAnsiTheme="minorEastAsia" w:eastAsiaTheme="minorEastAsia"/>
              </w:rPr>
              <w:t>提供近半年来任一个月依法缴纳税收和社会保障资金的证明材料复印件；如依法免税或不需要缴纳社会保障资金的，应提供相关材料</w:t>
            </w:r>
            <w:r>
              <w:rPr>
                <w:rFonts w:hint="eastAsia" w:asciiTheme="minorEastAsia" w:hAnsiTheme="minorEastAsia" w:eastAsiaTheme="minorEastAsia"/>
                <w:lang w:val="en-US" w:eastAsia="zh-CN"/>
              </w:rPr>
              <w:t>(或提供汕头市政府采购供应商信用承诺函)</w:t>
            </w:r>
            <w:r>
              <w:rPr>
                <w:rFonts w:hint="eastAsia" w:asciiTheme="minorEastAsia" w:hAnsiTheme="minorEastAsia" w:eastAsiaTheme="minorEastAsia"/>
              </w:rPr>
              <w:t>；</w:t>
            </w:r>
          </w:p>
        </w:tc>
        <w:tc>
          <w:tcPr>
            <w:tcW w:w="772" w:type="dxa"/>
            <w:vAlign w:val="center"/>
          </w:tcPr>
          <w:p w14:paraId="37D2A65D">
            <w:pPr>
              <w:jc w:val="center"/>
              <w:rPr>
                <w:rFonts w:ascii="宋体" w:hAnsi="宋体"/>
              </w:rPr>
            </w:pPr>
          </w:p>
        </w:tc>
        <w:tc>
          <w:tcPr>
            <w:tcW w:w="732" w:type="dxa"/>
            <w:vAlign w:val="center"/>
          </w:tcPr>
          <w:p w14:paraId="4F05E268">
            <w:pPr>
              <w:jc w:val="center"/>
              <w:rPr>
                <w:rFonts w:ascii="宋体" w:hAnsi="宋体"/>
              </w:rPr>
            </w:pPr>
          </w:p>
        </w:tc>
        <w:tc>
          <w:tcPr>
            <w:tcW w:w="896" w:type="dxa"/>
            <w:shd w:val="clear" w:color="auto" w:fill="EEECE1"/>
            <w:vAlign w:val="center"/>
          </w:tcPr>
          <w:p w14:paraId="283E022F">
            <w:pPr>
              <w:jc w:val="center"/>
              <w:rPr>
                <w:rFonts w:ascii="宋体" w:hAnsi="宋体"/>
              </w:rPr>
            </w:pPr>
          </w:p>
        </w:tc>
        <w:tc>
          <w:tcPr>
            <w:tcW w:w="897" w:type="dxa"/>
            <w:shd w:val="clear" w:color="auto" w:fill="EEECE1"/>
            <w:vAlign w:val="center"/>
          </w:tcPr>
          <w:p w14:paraId="647C798D">
            <w:pPr>
              <w:jc w:val="center"/>
              <w:rPr>
                <w:rFonts w:ascii="宋体" w:hAnsi="宋体"/>
              </w:rPr>
            </w:pPr>
          </w:p>
        </w:tc>
      </w:tr>
      <w:tr w14:paraId="4B2BC28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23" w:hRule="atLeast"/>
        </w:trPr>
        <w:tc>
          <w:tcPr>
            <w:tcW w:w="674" w:type="dxa"/>
            <w:vAlign w:val="center"/>
          </w:tcPr>
          <w:p w14:paraId="13067540">
            <w:pPr>
              <w:numPr>
                <w:ilvl w:val="0"/>
                <w:numId w:val="18"/>
              </w:numPr>
              <w:autoSpaceDE/>
              <w:autoSpaceDN/>
              <w:adjustRightInd/>
              <w:jc w:val="center"/>
              <w:rPr>
                <w:rFonts w:ascii="宋体" w:hAnsi="宋体"/>
              </w:rPr>
            </w:pPr>
          </w:p>
        </w:tc>
        <w:tc>
          <w:tcPr>
            <w:tcW w:w="5647" w:type="dxa"/>
            <w:vAlign w:val="center"/>
          </w:tcPr>
          <w:p w14:paraId="00A32807">
            <w:pPr>
              <w:autoSpaceDE/>
              <w:autoSpaceDN/>
              <w:adjustRightInd/>
              <w:snapToGrid w:val="0"/>
              <w:spacing w:line="276" w:lineRule="auto"/>
              <w:jc w:val="both"/>
              <w:rPr>
                <w:rFonts w:ascii="宋体" w:hAnsi="宋体"/>
                <w:strike/>
                <w:kern w:val="2"/>
              </w:rPr>
            </w:pPr>
            <w:r>
              <w:rPr>
                <w:rFonts w:hint="eastAsia" w:ascii="宋体" w:hAnsi="宋体"/>
                <w:bCs/>
              </w:rPr>
              <w:t>提供履行合同所必需的设备和专业技术能力的证明材料；（提供《</w:t>
            </w:r>
            <w:r>
              <w:rPr>
                <w:rFonts w:hint="eastAsia" w:ascii="宋体" w:hAnsi="宋体"/>
              </w:rPr>
              <w:t>响应供应商</w:t>
            </w:r>
            <w:r>
              <w:rPr>
                <w:rFonts w:hint="eastAsia" w:ascii="宋体" w:hAnsi="宋体"/>
                <w:bCs/>
              </w:rPr>
              <w:t>资格声明函》）；</w:t>
            </w:r>
          </w:p>
        </w:tc>
        <w:tc>
          <w:tcPr>
            <w:tcW w:w="772" w:type="dxa"/>
            <w:vAlign w:val="center"/>
          </w:tcPr>
          <w:p w14:paraId="1CA5E9C6">
            <w:pPr>
              <w:jc w:val="center"/>
              <w:rPr>
                <w:rFonts w:ascii="宋体" w:hAnsi="宋体"/>
              </w:rPr>
            </w:pPr>
          </w:p>
        </w:tc>
        <w:tc>
          <w:tcPr>
            <w:tcW w:w="732" w:type="dxa"/>
            <w:vAlign w:val="center"/>
          </w:tcPr>
          <w:p w14:paraId="3081BA98">
            <w:pPr>
              <w:jc w:val="center"/>
              <w:rPr>
                <w:rFonts w:ascii="宋体" w:hAnsi="宋体"/>
              </w:rPr>
            </w:pPr>
          </w:p>
        </w:tc>
        <w:tc>
          <w:tcPr>
            <w:tcW w:w="896" w:type="dxa"/>
            <w:shd w:val="clear" w:color="auto" w:fill="EEECE1"/>
            <w:vAlign w:val="center"/>
          </w:tcPr>
          <w:p w14:paraId="4594AB94">
            <w:pPr>
              <w:jc w:val="center"/>
              <w:rPr>
                <w:rFonts w:ascii="宋体" w:hAnsi="宋体"/>
              </w:rPr>
            </w:pPr>
          </w:p>
        </w:tc>
        <w:tc>
          <w:tcPr>
            <w:tcW w:w="897" w:type="dxa"/>
            <w:shd w:val="clear" w:color="auto" w:fill="EEECE1"/>
            <w:vAlign w:val="center"/>
          </w:tcPr>
          <w:p w14:paraId="77814927">
            <w:pPr>
              <w:jc w:val="center"/>
              <w:rPr>
                <w:rFonts w:ascii="宋体" w:hAnsi="宋体"/>
              </w:rPr>
            </w:pPr>
          </w:p>
        </w:tc>
      </w:tr>
      <w:tr w14:paraId="2ABECD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70" w:hRule="atLeast"/>
        </w:trPr>
        <w:tc>
          <w:tcPr>
            <w:tcW w:w="674" w:type="dxa"/>
            <w:vAlign w:val="center"/>
          </w:tcPr>
          <w:p w14:paraId="0C8F7700">
            <w:pPr>
              <w:numPr>
                <w:ilvl w:val="0"/>
                <w:numId w:val="18"/>
              </w:numPr>
              <w:autoSpaceDE/>
              <w:autoSpaceDN/>
              <w:adjustRightInd/>
              <w:jc w:val="center"/>
              <w:rPr>
                <w:rFonts w:ascii="宋体" w:hAnsi="宋体"/>
              </w:rPr>
            </w:pPr>
          </w:p>
        </w:tc>
        <w:tc>
          <w:tcPr>
            <w:tcW w:w="5647" w:type="dxa"/>
            <w:vAlign w:val="center"/>
          </w:tcPr>
          <w:p w14:paraId="661E1FF1">
            <w:pPr>
              <w:autoSpaceDE/>
              <w:autoSpaceDN/>
              <w:adjustRightInd/>
              <w:snapToGrid w:val="0"/>
              <w:spacing w:line="276" w:lineRule="auto"/>
              <w:jc w:val="both"/>
              <w:rPr>
                <w:rFonts w:ascii="宋体" w:hAnsi="宋体"/>
                <w:strike/>
                <w:kern w:val="2"/>
              </w:rPr>
            </w:pPr>
            <w:r>
              <w:rPr>
                <w:rFonts w:hint="eastAsia" w:ascii="宋体" w:hAnsi="宋体"/>
                <w:bCs/>
              </w:rPr>
              <w:t>提供参加政府采购活动前3年内在经营活动中没有重大违法记录的书面声明</w:t>
            </w:r>
            <w:r>
              <w:rPr>
                <w:rFonts w:hint="eastAsia" w:ascii="宋体" w:hAnsi="宋体"/>
                <w:bCs/>
                <w:lang w:val="en-US" w:eastAsia="zh-CN"/>
              </w:rPr>
              <w:t>(或提供汕头市政府采购供应商信用承诺函)</w:t>
            </w:r>
            <w:r>
              <w:rPr>
                <w:rFonts w:hint="eastAsia" w:ascii="宋体" w:hAnsi="宋体"/>
                <w:bCs/>
              </w:rPr>
              <w:t>；</w:t>
            </w:r>
          </w:p>
        </w:tc>
        <w:tc>
          <w:tcPr>
            <w:tcW w:w="772" w:type="dxa"/>
            <w:vAlign w:val="center"/>
          </w:tcPr>
          <w:p w14:paraId="7177DB8E">
            <w:pPr>
              <w:jc w:val="center"/>
              <w:rPr>
                <w:rFonts w:ascii="宋体" w:hAnsi="宋体"/>
              </w:rPr>
            </w:pPr>
          </w:p>
        </w:tc>
        <w:tc>
          <w:tcPr>
            <w:tcW w:w="732" w:type="dxa"/>
            <w:vAlign w:val="center"/>
          </w:tcPr>
          <w:p w14:paraId="465A552B">
            <w:pPr>
              <w:jc w:val="center"/>
              <w:rPr>
                <w:rFonts w:ascii="宋体" w:hAnsi="宋体"/>
              </w:rPr>
            </w:pPr>
          </w:p>
        </w:tc>
        <w:tc>
          <w:tcPr>
            <w:tcW w:w="896" w:type="dxa"/>
            <w:shd w:val="clear" w:color="auto" w:fill="EEECE1"/>
            <w:vAlign w:val="center"/>
          </w:tcPr>
          <w:p w14:paraId="2A1EFBED">
            <w:pPr>
              <w:jc w:val="center"/>
              <w:rPr>
                <w:rFonts w:ascii="宋体" w:hAnsi="宋体"/>
              </w:rPr>
            </w:pPr>
          </w:p>
        </w:tc>
        <w:tc>
          <w:tcPr>
            <w:tcW w:w="897" w:type="dxa"/>
            <w:shd w:val="clear" w:color="auto" w:fill="EEECE1"/>
            <w:vAlign w:val="center"/>
          </w:tcPr>
          <w:p w14:paraId="5E40278E">
            <w:pPr>
              <w:jc w:val="center"/>
              <w:rPr>
                <w:rFonts w:ascii="宋体" w:hAnsi="宋体"/>
              </w:rPr>
            </w:pPr>
          </w:p>
        </w:tc>
      </w:tr>
      <w:tr w14:paraId="6B399C7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14:paraId="47FE7CAB">
            <w:pPr>
              <w:numPr>
                <w:ilvl w:val="0"/>
                <w:numId w:val="18"/>
              </w:numPr>
              <w:autoSpaceDE/>
              <w:autoSpaceDN/>
              <w:adjustRightInd/>
              <w:jc w:val="center"/>
              <w:rPr>
                <w:rFonts w:ascii="宋体" w:hAnsi="宋体"/>
              </w:rPr>
            </w:pPr>
          </w:p>
        </w:tc>
        <w:tc>
          <w:tcPr>
            <w:tcW w:w="5647" w:type="dxa"/>
          </w:tcPr>
          <w:p w14:paraId="6F5A528B">
            <w:pPr>
              <w:autoSpaceDE/>
              <w:autoSpaceDN/>
              <w:adjustRightInd/>
              <w:snapToGrid w:val="0"/>
              <w:spacing w:line="276" w:lineRule="auto"/>
              <w:jc w:val="both"/>
              <w:rPr>
                <w:rFonts w:ascii="宋体" w:hAnsi="宋体"/>
                <w:bCs/>
              </w:rPr>
            </w:pPr>
            <w:r>
              <w:rPr>
                <w:rFonts w:hint="eastAsia" w:ascii="宋体" w:hAnsi="宋体"/>
                <w:bCs/>
                <w:kern w:val="2"/>
              </w:rPr>
              <w:t>为采购项目提供整体设计、规范编制或者项目管理、监理、检测等服务的供应商，不得再参加该采购项目的其他采购活动；</w:t>
            </w:r>
            <w:r>
              <w:rPr>
                <w:rFonts w:hint="eastAsia" w:ascii="宋体" w:hAnsi="宋体"/>
                <w:bCs/>
                <w:szCs w:val="20"/>
              </w:rPr>
              <w:t>（提供《</w:t>
            </w:r>
            <w:r>
              <w:rPr>
                <w:rFonts w:hint="eastAsia" w:ascii="宋体" w:hAnsi="宋体"/>
              </w:rPr>
              <w:t>响应供应商</w:t>
            </w:r>
            <w:r>
              <w:rPr>
                <w:rFonts w:hint="eastAsia" w:ascii="宋体" w:hAnsi="宋体"/>
                <w:bCs/>
                <w:szCs w:val="20"/>
              </w:rPr>
              <w:t>资格声明函》）</w:t>
            </w:r>
          </w:p>
        </w:tc>
        <w:tc>
          <w:tcPr>
            <w:tcW w:w="772" w:type="dxa"/>
            <w:vAlign w:val="center"/>
          </w:tcPr>
          <w:p w14:paraId="517CCB8C">
            <w:pPr>
              <w:jc w:val="center"/>
              <w:rPr>
                <w:rFonts w:ascii="宋体" w:hAnsi="宋体"/>
              </w:rPr>
            </w:pPr>
          </w:p>
        </w:tc>
        <w:tc>
          <w:tcPr>
            <w:tcW w:w="732" w:type="dxa"/>
            <w:vAlign w:val="center"/>
          </w:tcPr>
          <w:p w14:paraId="39EB8615">
            <w:pPr>
              <w:jc w:val="center"/>
              <w:rPr>
                <w:rFonts w:ascii="宋体" w:hAnsi="宋体"/>
              </w:rPr>
            </w:pPr>
          </w:p>
        </w:tc>
        <w:tc>
          <w:tcPr>
            <w:tcW w:w="896" w:type="dxa"/>
            <w:shd w:val="clear" w:color="auto" w:fill="EEECE1"/>
            <w:vAlign w:val="center"/>
          </w:tcPr>
          <w:p w14:paraId="6875D788">
            <w:pPr>
              <w:jc w:val="center"/>
              <w:rPr>
                <w:rFonts w:ascii="宋体" w:hAnsi="宋体"/>
              </w:rPr>
            </w:pPr>
          </w:p>
        </w:tc>
        <w:tc>
          <w:tcPr>
            <w:tcW w:w="897" w:type="dxa"/>
            <w:shd w:val="clear" w:color="auto" w:fill="EEECE1"/>
            <w:vAlign w:val="center"/>
          </w:tcPr>
          <w:p w14:paraId="0B080BCE">
            <w:pPr>
              <w:jc w:val="center"/>
              <w:rPr>
                <w:rFonts w:ascii="宋体" w:hAnsi="宋体"/>
              </w:rPr>
            </w:pPr>
          </w:p>
        </w:tc>
      </w:tr>
      <w:tr w14:paraId="6AB642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14:paraId="63ABDBE0">
            <w:pPr>
              <w:numPr>
                <w:ilvl w:val="0"/>
                <w:numId w:val="18"/>
              </w:numPr>
              <w:autoSpaceDE/>
              <w:autoSpaceDN/>
              <w:adjustRightInd/>
              <w:jc w:val="center"/>
              <w:rPr>
                <w:rFonts w:ascii="宋体" w:hAnsi="宋体"/>
              </w:rPr>
            </w:pPr>
          </w:p>
        </w:tc>
        <w:tc>
          <w:tcPr>
            <w:tcW w:w="5647" w:type="dxa"/>
          </w:tcPr>
          <w:p w14:paraId="3529FC63">
            <w:pPr>
              <w:autoSpaceDE/>
              <w:autoSpaceDN/>
              <w:adjustRightInd/>
              <w:snapToGrid w:val="0"/>
              <w:spacing w:line="276" w:lineRule="auto"/>
              <w:jc w:val="both"/>
              <w:rPr>
                <w:rFonts w:ascii="宋体" w:hAnsi="宋体"/>
                <w:bCs/>
                <w:kern w:val="2"/>
              </w:rPr>
            </w:pPr>
            <w:r>
              <w:rPr>
                <w:rFonts w:hint="eastAsia" w:hAnsi="宋体" w:cs="Courier New"/>
              </w:rPr>
              <w:t>单位负责人为同一人或者存在直接控股、管理关系的不同供应商，不得参加同一合同项下的政府采购活动。（提供《响应供应商资格声明函》）</w:t>
            </w:r>
          </w:p>
        </w:tc>
        <w:tc>
          <w:tcPr>
            <w:tcW w:w="772" w:type="dxa"/>
            <w:vAlign w:val="center"/>
          </w:tcPr>
          <w:p w14:paraId="429CDF50">
            <w:pPr>
              <w:jc w:val="center"/>
              <w:rPr>
                <w:rFonts w:ascii="宋体" w:hAnsi="宋体"/>
              </w:rPr>
            </w:pPr>
          </w:p>
        </w:tc>
        <w:tc>
          <w:tcPr>
            <w:tcW w:w="732" w:type="dxa"/>
            <w:vAlign w:val="center"/>
          </w:tcPr>
          <w:p w14:paraId="0F7CB8C5">
            <w:pPr>
              <w:jc w:val="center"/>
              <w:rPr>
                <w:rFonts w:ascii="宋体" w:hAnsi="宋体"/>
              </w:rPr>
            </w:pPr>
          </w:p>
        </w:tc>
        <w:tc>
          <w:tcPr>
            <w:tcW w:w="896" w:type="dxa"/>
            <w:shd w:val="clear" w:color="auto" w:fill="EEECE1"/>
            <w:vAlign w:val="center"/>
          </w:tcPr>
          <w:p w14:paraId="23D0A326">
            <w:pPr>
              <w:jc w:val="center"/>
              <w:rPr>
                <w:rFonts w:ascii="宋体" w:hAnsi="宋体"/>
              </w:rPr>
            </w:pPr>
          </w:p>
        </w:tc>
        <w:tc>
          <w:tcPr>
            <w:tcW w:w="897" w:type="dxa"/>
            <w:shd w:val="clear" w:color="auto" w:fill="EEECE1"/>
            <w:vAlign w:val="center"/>
          </w:tcPr>
          <w:p w14:paraId="6B1F3C79">
            <w:pPr>
              <w:jc w:val="center"/>
              <w:rPr>
                <w:rFonts w:ascii="宋体" w:hAnsi="宋体"/>
              </w:rPr>
            </w:pPr>
          </w:p>
        </w:tc>
      </w:tr>
      <w:tr w14:paraId="677DAB2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30" w:hRule="atLeast"/>
        </w:trPr>
        <w:tc>
          <w:tcPr>
            <w:tcW w:w="674" w:type="dxa"/>
            <w:vAlign w:val="center"/>
          </w:tcPr>
          <w:p w14:paraId="359C11B0">
            <w:pPr>
              <w:numPr>
                <w:ilvl w:val="0"/>
                <w:numId w:val="18"/>
              </w:numPr>
              <w:autoSpaceDE/>
              <w:autoSpaceDN/>
              <w:adjustRightInd/>
              <w:jc w:val="center"/>
              <w:rPr>
                <w:rFonts w:ascii="宋体" w:hAnsi="宋体"/>
              </w:rPr>
            </w:pPr>
          </w:p>
        </w:tc>
        <w:tc>
          <w:tcPr>
            <w:tcW w:w="5647" w:type="dxa"/>
            <w:vAlign w:val="center"/>
          </w:tcPr>
          <w:p w14:paraId="1FC126FE">
            <w:pPr>
              <w:autoSpaceDE/>
              <w:autoSpaceDN/>
              <w:snapToGrid w:val="0"/>
              <w:jc w:val="both"/>
              <w:rPr>
                <w:rFonts w:hAnsi="宋体" w:cs="宋体"/>
                <w:bCs/>
              </w:rPr>
            </w:pPr>
            <w:r>
              <w:rPr>
                <w:rFonts w:hint="eastAsia" w:ascii="宋体" w:hAnsi="宋体"/>
              </w:rPr>
              <w:t>在提交响应文件截止时间前响应供应商</w:t>
            </w:r>
            <w:r>
              <w:rPr>
                <w:rFonts w:ascii="宋体" w:hAnsi="宋体"/>
              </w:rPr>
              <w:t>未被列入“信用中国”网站(www.creditchina.gov.cn)</w:t>
            </w:r>
            <w:r>
              <w:rPr>
                <w:rFonts w:hint="eastAsia" w:ascii="宋体" w:hAnsi="宋体"/>
              </w:rPr>
              <w:t>以下任一记录名单之一：①失信被执行人；②重大税收违法案件当事人名单；③政府采购严重违法失信行为。同时，</w:t>
            </w:r>
            <w:r>
              <w:rPr>
                <w:rFonts w:ascii="宋体" w:hAnsi="宋体"/>
              </w:rPr>
              <w:t>不处于中国政府采购网(www.ccgp.gov.cn)“政府采购严重违法失信行为信息记录”中的禁止参加政府采购活动期间。</w:t>
            </w:r>
            <w:r>
              <w:rPr>
                <w:rFonts w:hint="eastAsia" w:ascii="宋体" w:hAnsi="宋体"/>
              </w:rPr>
              <w:t>【</w:t>
            </w:r>
            <w:r>
              <w:rPr>
                <w:rFonts w:hint="eastAsia" w:ascii="宋体" w:hAnsi="宋体" w:cs="宋体"/>
              </w:rPr>
              <w:t>说明：1）、</w:t>
            </w:r>
            <w:r>
              <w:rPr>
                <w:rFonts w:hint="eastAsia" w:ascii="宋体" w:hAnsi="宋体"/>
              </w:rPr>
              <w:t>由磋商小组</w:t>
            </w:r>
            <w:r>
              <w:rPr>
                <w:rFonts w:ascii="宋体" w:hAnsi="宋体"/>
              </w:rPr>
              <w:t>于</w:t>
            </w:r>
            <w:r>
              <w:rPr>
                <w:rFonts w:hint="eastAsia" w:ascii="宋体" w:hAnsi="宋体"/>
              </w:rPr>
              <w:t>递交响应文件截止日</w:t>
            </w:r>
            <w:r>
              <w:rPr>
                <w:rFonts w:ascii="宋体" w:hAnsi="宋体"/>
              </w:rPr>
              <w:t>在“信用中国”网站（www.creditchina.gov.cn）及中国政府采购网(www.ccgp.gov.cn)查询结果为准</w:t>
            </w:r>
            <w:r>
              <w:rPr>
                <w:rFonts w:hint="eastAsia" w:ascii="宋体" w:hAnsi="宋体"/>
              </w:rPr>
              <w:t>。</w:t>
            </w:r>
            <w:r>
              <w:rPr>
                <w:rFonts w:hint="eastAsia" w:ascii="宋体" w:hAnsi="宋体" w:cs="宋体"/>
              </w:rPr>
              <w:t>2）、采购代理机构同时对信用信息查询记录和证据截图或下载存档。</w:t>
            </w:r>
            <w:r>
              <w:rPr>
                <w:rFonts w:hint="eastAsia" w:ascii="宋体" w:hAnsi="宋体"/>
              </w:rPr>
              <w:t>】</w:t>
            </w:r>
          </w:p>
        </w:tc>
        <w:tc>
          <w:tcPr>
            <w:tcW w:w="772" w:type="dxa"/>
            <w:vAlign w:val="center"/>
          </w:tcPr>
          <w:p w14:paraId="43FE15F4">
            <w:pPr>
              <w:jc w:val="center"/>
              <w:rPr>
                <w:rFonts w:ascii="宋体" w:hAnsi="宋体"/>
              </w:rPr>
            </w:pPr>
          </w:p>
        </w:tc>
        <w:tc>
          <w:tcPr>
            <w:tcW w:w="732" w:type="dxa"/>
            <w:vAlign w:val="center"/>
          </w:tcPr>
          <w:p w14:paraId="3978050A">
            <w:pPr>
              <w:jc w:val="center"/>
              <w:rPr>
                <w:rFonts w:ascii="宋体" w:hAnsi="宋体"/>
              </w:rPr>
            </w:pPr>
          </w:p>
        </w:tc>
        <w:tc>
          <w:tcPr>
            <w:tcW w:w="896" w:type="dxa"/>
            <w:shd w:val="clear" w:color="auto" w:fill="EEECE1"/>
            <w:vAlign w:val="center"/>
          </w:tcPr>
          <w:p w14:paraId="06EDDF50">
            <w:pPr>
              <w:jc w:val="center"/>
              <w:rPr>
                <w:rFonts w:ascii="宋体" w:hAnsi="宋体"/>
              </w:rPr>
            </w:pPr>
          </w:p>
        </w:tc>
        <w:tc>
          <w:tcPr>
            <w:tcW w:w="897" w:type="dxa"/>
            <w:shd w:val="clear" w:color="auto" w:fill="EEECE1"/>
            <w:vAlign w:val="center"/>
          </w:tcPr>
          <w:p w14:paraId="60199313">
            <w:pPr>
              <w:jc w:val="center"/>
              <w:rPr>
                <w:rFonts w:ascii="宋体" w:hAnsi="宋体"/>
              </w:rPr>
            </w:pPr>
          </w:p>
        </w:tc>
      </w:tr>
      <w:tr w14:paraId="6C05DB9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6" w:hRule="atLeast"/>
        </w:trPr>
        <w:tc>
          <w:tcPr>
            <w:tcW w:w="674" w:type="dxa"/>
            <w:vAlign w:val="center"/>
          </w:tcPr>
          <w:p w14:paraId="4DDCEC02">
            <w:pPr>
              <w:numPr>
                <w:ilvl w:val="0"/>
                <w:numId w:val="18"/>
              </w:numPr>
              <w:autoSpaceDE/>
              <w:autoSpaceDN/>
              <w:adjustRightInd/>
              <w:jc w:val="center"/>
              <w:rPr>
                <w:rFonts w:ascii="宋体" w:hAnsi="宋体"/>
              </w:rPr>
            </w:pPr>
          </w:p>
        </w:tc>
        <w:tc>
          <w:tcPr>
            <w:tcW w:w="5647" w:type="dxa"/>
            <w:vAlign w:val="center"/>
          </w:tcPr>
          <w:p w14:paraId="420936D9">
            <w:pPr>
              <w:autoSpaceDE/>
              <w:autoSpaceDN/>
              <w:adjustRightInd/>
              <w:snapToGrid w:val="0"/>
              <w:spacing w:line="276" w:lineRule="auto"/>
              <w:jc w:val="both"/>
              <w:rPr>
                <w:rFonts w:ascii="宋体" w:hAnsi="宋体"/>
              </w:rPr>
            </w:pPr>
            <w:r>
              <w:rPr>
                <w:rFonts w:hint="eastAsia" w:ascii="宋体" w:hAnsi="宋体"/>
              </w:rPr>
              <w:t>已办理报名并成功购买本磋商文件的供应商。</w:t>
            </w:r>
          </w:p>
        </w:tc>
        <w:tc>
          <w:tcPr>
            <w:tcW w:w="772" w:type="dxa"/>
            <w:vAlign w:val="center"/>
          </w:tcPr>
          <w:p w14:paraId="67F6711A">
            <w:pPr>
              <w:jc w:val="center"/>
              <w:rPr>
                <w:rFonts w:ascii="宋体" w:hAnsi="宋体"/>
              </w:rPr>
            </w:pPr>
          </w:p>
        </w:tc>
        <w:tc>
          <w:tcPr>
            <w:tcW w:w="732" w:type="dxa"/>
            <w:vAlign w:val="center"/>
          </w:tcPr>
          <w:p w14:paraId="4C177F43">
            <w:pPr>
              <w:jc w:val="center"/>
              <w:rPr>
                <w:rFonts w:ascii="宋体" w:hAnsi="宋体"/>
              </w:rPr>
            </w:pPr>
          </w:p>
        </w:tc>
        <w:tc>
          <w:tcPr>
            <w:tcW w:w="896" w:type="dxa"/>
            <w:shd w:val="clear" w:color="auto" w:fill="EEECE1"/>
            <w:vAlign w:val="center"/>
          </w:tcPr>
          <w:p w14:paraId="390B03EB">
            <w:pPr>
              <w:jc w:val="center"/>
              <w:rPr>
                <w:rFonts w:ascii="宋体" w:hAnsi="宋体"/>
              </w:rPr>
            </w:pPr>
          </w:p>
        </w:tc>
        <w:tc>
          <w:tcPr>
            <w:tcW w:w="897" w:type="dxa"/>
            <w:shd w:val="clear" w:color="auto" w:fill="EEECE1"/>
            <w:vAlign w:val="center"/>
          </w:tcPr>
          <w:p w14:paraId="091CE2FF">
            <w:pPr>
              <w:jc w:val="center"/>
              <w:rPr>
                <w:rFonts w:ascii="宋体" w:hAnsi="宋体"/>
              </w:rPr>
            </w:pPr>
          </w:p>
        </w:tc>
      </w:tr>
      <w:tr w14:paraId="27E7191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3" w:hRule="atLeast"/>
        </w:trPr>
        <w:tc>
          <w:tcPr>
            <w:tcW w:w="674" w:type="dxa"/>
            <w:vAlign w:val="center"/>
          </w:tcPr>
          <w:p w14:paraId="549366F7">
            <w:pPr>
              <w:numPr>
                <w:ilvl w:val="0"/>
                <w:numId w:val="18"/>
              </w:numPr>
              <w:autoSpaceDE/>
              <w:autoSpaceDN/>
              <w:adjustRightInd/>
              <w:jc w:val="center"/>
              <w:rPr>
                <w:rFonts w:ascii="宋体" w:hAnsi="宋体"/>
              </w:rPr>
            </w:pPr>
          </w:p>
        </w:tc>
        <w:tc>
          <w:tcPr>
            <w:tcW w:w="5647" w:type="dxa"/>
            <w:vAlign w:val="center"/>
          </w:tcPr>
          <w:p w14:paraId="4660D333">
            <w:pPr>
              <w:autoSpaceDE/>
              <w:autoSpaceDN/>
              <w:adjustRightInd/>
              <w:snapToGrid w:val="0"/>
              <w:spacing w:line="276" w:lineRule="auto"/>
              <w:jc w:val="both"/>
              <w:rPr>
                <w:rFonts w:ascii="宋体" w:hAnsi="宋体"/>
              </w:rPr>
            </w:pPr>
            <w:r>
              <w:rPr>
                <w:rFonts w:hint="eastAsia" w:ascii="宋体" w:hAnsi="宋体"/>
              </w:rPr>
              <w:t>本项目不接受联合体投标。</w:t>
            </w:r>
          </w:p>
        </w:tc>
        <w:tc>
          <w:tcPr>
            <w:tcW w:w="772" w:type="dxa"/>
            <w:vAlign w:val="center"/>
          </w:tcPr>
          <w:p w14:paraId="22E65F78">
            <w:pPr>
              <w:jc w:val="center"/>
              <w:rPr>
                <w:rFonts w:ascii="宋体" w:hAnsi="宋体"/>
              </w:rPr>
            </w:pPr>
          </w:p>
        </w:tc>
        <w:tc>
          <w:tcPr>
            <w:tcW w:w="732" w:type="dxa"/>
            <w:vAlign w:val="center"/>
          </w:tcPr>
          <w:p w14:paraId="3B963ACA">
            <w:pPr>
              <w:jc w:val="center"/>
              <w:rPr>
                <w:rFonts w:ascii="宋体" w:hAnsi="宋体"/>
              </w:rPr>
            </w:pPr>
          </w:p>
        </w:tc>
        <w:tc>
          <w:tcPr>
            <w:tcW w:w="896" w:type="dxa"/>
            <w:shd w:val="clear" w:color="auto" w:fill="EEECE1"/>
            <w:vAlign w:val="center"/>
          </w:tcPr>
          <w:p w14:paraId="2692ED24">
            <w:pPr>
              <w:jc w:val="center"/>
              <w:rPr>
                <w:rFonts w:ascii="宋体" w:hAnsi="宋体"/>
              </w:rPr>
            </w:pPr>
          </w:p>
        </w:tc>
        <w:tc>
          <w:tcPr>
            <w:tcW w:w="897" w:type="dxa"/>
            <w:shd w:val="clear" w:color="auto" w:fill="EEECE1"/>
            <w:vAlign w:val="center"/>
          </w:tcPr>
          <w:p w14:paraId="6134610F">
            <w:pPr>
              <w:jc w:val="center"/>
              <w:rPr>
                <w:rFonts w:ascii="宋体" w:hAnsi="宋体"/>
              </w:rPr>
            </w:pPr>
          </w:p>
        </w:tc>
      </w:tr>
      <w:tr w14:paraId="09CF961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3" w:hRule="atLeast"/>
        </w:trPr>
        <w:tc>
          <w:tcPr>
            <w:tcW w:w="674" w:type="dxa"/>
            <w:vAlign w:val="center"/>
          </w:tcPr>
          <w:p w14:paraId="303DF8B1">
            <w:pPr>
              <w:numPr>
                <w:ilvl w:val="0"/>
                <w:numId w:val="18"/>
              </w:numPr>
              <w:autoSpaceDE/>
              <w:autoSpaceDN/>
              <w:adjustRightInd/>
              <w:jc w:val="center"/>
              <w:rPr>
                <w:rFonts w:ascii="宋体" w:hAnsi="宋体"/>
              </w:rPr>
            </w:pPr>
          </w:p>
        </w:tc>
        <w:tc>
          <w:tcPr>
            <w:tcW w:w="5647" w:type="dxa"/>
            <w:vAlign w:val="center"/>
          </w:tcPr>
          <w:p w14:paraId="1AE5CCBB">
            <w:pPr>
              <w:autoSpaceDE/>
              <w:autoSpaceDN/>
              <w:adjustRightInd/>
              <w:snapToGrid w:val="0"/>
              <w:spacing w:line="276" w:lineRule="auto"/>
              <w:jc w:val="both"/>
              <w:rPr>
                <w:rFonts w:ascii="宋体" w:hAnsi="宋体"/>
              </w:rPr>
            </w:pPr>
            <w:r>
              <w:rPr>
                <w:rFonts w:hint="eastAsia" w:hAnsi="宋体" w:cs="Courier New"/>
              </w:rPr>
              <w:t>法定代表人授权委托书</w:t>
            </w:r>
          </w:p>
        </w:tc>
        <w:tc>
          <w:tcPr>
            <w:tcW w:w="772" w:type="dxa"/>
            <w:vAlign w:val="center"/>
          </w:tcPr>
          <w:p w14:paraId="4041D365">
            <w:pPr>
              <w:jc w:val="center"/>
              <w:rPr>
                <w:rFonts w:ascii="宋体" w:hAnsi="宋体"/>
              </w:rPr>
            </w:pPr>
          </w:p>
        </w:tc>
        <w:tc>
          <w:tcPr>
            <w:tcW w:w="732" w:type="dxa"/>
            <w:vAlign w:val="center"/>
          </w:tcPr>
          <w:p w14:paraId="4940611D">
            <w:pPr>
              <w:jc w:val="center"/>
              <w:rPr>
                <w:rFonts w:ascii="宋体" w:hAnsi="宋体"/>
              </w:rPr>
            </w:pPr>
          </w:p>
        </w:tc>
        <w:tc>
          <w:tcPr>
            <w:tcW w:w="896" w:type="dxa"/>
            <w:shd w:val="clear" w:color="auto" w:fill="EEECE1"/>
            <w:vAlign w:val="center"/>
          </w:tcPr>
          <w:p w14:paraId="18BEC819">
            <w:pPr>
              <w:jc w:val="center"/>
              <w:rPr>
                <w:rFonts w:ascii="宋体" w:hAnsi="宋体"/>
              </w:rPr>
            </w:pPr>
          </w:p>
        </w:tc>
        <w:tc>
          <w:tcPr>
            <w:tcW w:w="897" w:type="dxa"/>
            <w:shd w:val="clear" w:color="auto" w:fill="EEECE1"/>
            <w:vAlign w:val="center"/>
          </w:tcPr>
          <w:p w14:paraId="3E57BC50">
            <w:pPr>
              <w:jc w:val="center"/>
              <w:rPr>
                <w:rFonts w:ascii="宋体" w:hAnsi="宋体"/>
              </w:rPr>
            </w:pPr>
          </w:p>
        </w:tc>
      </w:tr>
      <w:tr w14:paraId="1FFE06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20" w:hRule="atLeast"/>
        </w:trPr>
        <w:tc>
          <w:tcPr>
            <w:tcW w:w="674" w:type="dxa"/>
            <w:vAlign w:val="center"/>
          </w:tcPr>
          <w:p w14:paraId="7A998ED9">
            <w:pPr>
              <w:numPr>
                <w:ilvl w:val="0"/>
                <w:numId w:val="18"/>
              </w:numPr>
              <w:autoSpaceDE/>
              <w:autoSpaceDN/>
              <w:adjustRightInd/>
              <w:jc w:val="center"/>
              <w:rPr>
                <w:rFonts w:ascii="宋体" w:hAnsi="宋体"/>
              </w:rPr>
            </w:pPr>
          </w:p>
        </w:tc>
        <w:tc>
          <w:tcPr>
            <w:tcW w:w="5647" w:type="dxa"/>
            <w:vAlign w:val="center"/>
          </w:tcPr>
          <w:p w14:paraId="23FC92E7">
            <w:pPr>
              <w:snapToGrid w:val="0"/>
              <w:rPr>
                <w:rFonts w:hAnsi="宋体" w:cs="宋体"/>
                <w:bCs/>
              </w:rPr>
            </w:pPr>
            <w:r>
              <w:rPr>
                <w:rFonts w:hint="eastAsia" w:hAnsi="宋体" w:cs="Courier New"/>
              </w:rPr>
              <w:t>法定代表人证明书</w:t>
            </w:r>
          </w:p>
        </w:tc>
        <w:tc>
          <w:tcPr>
            <w:tcW w:w="772" w:type="dxa"/>
            <w:vAlign w:val="center"/>
          </w:tcPr>
          <w:p w14:paraId="4D2FF15D">
            <w:pPr>
              <w:jc w:val="center"/>
              <w:rPr>
                <w:rFonts w:ascii="宋体" w:hAnsi="宋体"/>
              </w:rPr>
            </w:pPr>
          </w:p>
        </w:tc>
        <w:tc>
          <w:tcPr>
            <w:tcW w:w="732" w:type="dxa"/>
            <w:vAlign w:val="center"/>
          </w:tcPr>
          <w:p w14:paraId="04031AF7">
            <w:pPr>
              <w:jc w:val="center"/>
              <w:rPr>
                <w:rFonts w:ascii="宋体" w:hAnsi="宋体"/>
              </w:rPr>
            </w:pPr>
          </w:p>
        </w:tc>
        <w:tc>
          <w:tcPr>
            <w:tcW w:w="896" w:type="dxa"/>
            <w:shd w:val="clear" w:color="auto" w:fill="EEECE1"/>
            <w:vAlign w:val="center"/>
          </w:tcPr>
          <w:p w14:paraId="1CFAE2DB">
            <w:pPr>
              <w:jc w:val="center"/>
              <w:rPr>
                <w:rFonts w:ascii="宋体" w:hAnsi="宋体"/>
              </w:rPr>
            </w:pPr>
          </w:p>
        </w:tc>
        <w:tc>
          <w:tcPr>
            <w:tcW w:w="897" w:type="dxa"/>
            <w:shd w:val="clear" w:color="auto" w:fill="EEECE1"/>
            <w:vAlign w:val="center"/>
          </w:tcPr>
          <w:p w14:paraId="5B01E66F">
            <w:pPr>
              <w:jc w:val="center"/>
              <w:rPr>
                <w:rFonts w:ascii="宋体" w:hAnsi="宋体"/>
              </w:rPr>
            </w:pPr>
          </w:p>
        </w:tc>
      </w:tr>
      <w:tr w14:paraId="14C6B8E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4EA95AE1">
            <w:pPr>
              <w:numPr>
                <w:ilvl w:val="0"/>
                <w:numId w:val="18"/>
              </w:numPr>
              <w:autoSpaceDE/>
              <w:autoSpaceDN/>
              <w:adjustRightInd/>
              <w:jc w:val="center"/>
              <w:rPr>
                <w:rFonts w:ascii="宋体" w:hAnsi="宋体"/>
              </w:rPr>
            </w:pPr>
          </w:p>
        </w:tc>
        <w:tc>
          <w:tcPr>
            <w:tcW w:w="5647" w:type="dxa"/>
            <w:vAlign w:val="center"/>
          </w:tcPr>
          <w:p w14:paraId="5744EC4C">
            <w:pPr>
              <w:snapToGrid w:val="0"/>
              <w:rPr>
                <w:rFonts w:hAnsi="宋体" w:cs="Courier New"/>
              </w:rPr>
            </w:pPr>
            <w:r>
              <w:rPr>
                <w:rFonts w:hint="eastAsia" w:ascii="宋体" w:hAnsi="宋体"/>
              </w:rPr>
              <w:t>实质性条款响应一览表</w:t>
            </w:r>
          </w:p>
        </w:tc>
        <w:tc>
          <w:tcPr>
            <w:tcW w:w="772" w:type="dxa"/>
            <w:vAlign w:val="center"/>
          </w:tcPr>
          <w:p w14:paraId="2B68243B">
            <w:pPr>
              <w:jc w:val="center"/>
              <w:rPr>
                <w:rFonts w:ascii="宋体" w:hAnsi="宋体"/>
              </w:rPr>
            </w:pPr>
          </w:p>
        </w:tc>
        <w:tc>
          <w:tcPr>
            <w:tcW w:w="732" w:type="dxa"/>
            <w:vAlign w:val="center"/>
          </w:tcPr>
          <w:p w14:paraId="2BEE5319">
            <w:pPr>
              <w:jc w:val="center"/>
              <w:rPr>
                <w:rFonts w:ascii="宋体" w:hAnsi="宋体"/>
              </w:rPr>
            </w:pPr>
          </w:p>
        </w:tc>
        <w:tc>
          <w:tcPr>
            <w:tcW w:w="896" w:type="dxa"/>
            <w:shd w:val="clear" w:color="auto" w:fill="EEECE1"/>
            <w:vAlign w:val="center"/>
          </w:tcPr>
          <w:p w14:paraId="4237C458">
            <w:pPr>
              <w:jc w:val="center"/>
              <w:rPr>
                <w:rFonts w:ascii="宋体" w:hAnsi="宋体"/>
              </w:rPr>
            </w:pPr>
          </w:p>
        </w:tc>
        <w:tc>
          <w:tcPr>
            <w:tcW w:w="897" w:type="dxa"/>
            <w:shd w:val="clear" w:color="auto" w:fill="EEECE1"/>
            <w:vAlign w:val="center"/>
          </w:tcPr>
          <w:p w14:paraId="4D79E320">
            <w:pPr>
              <w:jc w:val="center"/>
              <w:rPr>
                <w:rFonts w:ascii="宋体" w:hAnsi="宋体"/>
              </w:rPr>
            </w:pPr>
          </w:p>
        </w:tc>
      </w:tr>
      <w:tr w14:paraId="7E2ABDB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22" w:hRule="atLeast"/>
        </w:trPr>
        <w:tc>
          <w:tcPr>
            <w:tcW w:w="9618" w:type="dxa"/>
            <w:gridSpan w:val="6"/>
            <w:vAlign w:val="center"/>
          </w:tcPr>
          <w:p w14:paraId="52EF9B61">
            <w:pPr>
              <w:jc w:val="center"/>
              <w:rPr>
                <w:rFonts w:ascii="宋体" w:hAnsi="宋体"/>
              </w:rPr>
            </w:pPr>
            <w:r>
              <w:rPr>
                <w:rFonts w:hint="eastAsia" w:ascii="宋体" w:hAnsi="宋体"/>
              </w:rPr>
              <w:t>二、</w:t>
            </w:r>
            <w:r>
              <w:rPr>
                <w:rFonts w:hint="eastAsia" w:ascii="宋体" w:hAnsi="宋体"/>
                <w:b/>
              </w:rPr>
              <w:t>技术文件</w:t>
            </w:r>
          </w:p>
        </w:tc>
      </w:tr>
      <w:tr w14:paraId="5F08F6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20" w:hRule="atLeast"/>
        </w:trPr>
        <w:tc>
          <w:tcPr>
            <w:tcW w:w="674" w:type="dxa"/>
            <w:vAlign w:val="center"/>
          </w:tcPr>
          <w:p w14:paraId="34B64E50">
            <w:pPr>
              <w:numPr>
                <w:ilvl w:val="0"/>
                <w:numId w:val="19"/>
              </w:numPr>
              <w:autoSpaceDE/>
              <w:autoSpaceDN/>
              <w:adjustRightInd/>
              <w:jc w:val="center"/>
              <w:rPr>
                <w:rFonts w:ascii="宋体" w:hAnsi="宋体"/>
              </w:rPr>
            </w:pPr>
          </w:p>
        </w:tc>
        <w:tc>
          <w:tcPr>
            <w:tcW w:w="5647" w:type="dxa"/>
            <w:vAlign w:val="center"/>
          </w:tcPr>
          <w:p w14:paraId="4C9CDA5D">
            <w:pPr>
              <w:rPr>
                <w:rFonts w:ascii="宋体" w:hAnsi="宋体"/>
              </w:rPr>
            </w:pPr>
            <w:r>
              <w:rPr>
                <w:rFonts w:hint="eastAsia" w:ascii="宋体" w:hAnsi="宋体"/>
              </w:rPr>
              <w:t>报价表（首次报价）</w:t>
            </w:r>
          </w:p>
        </w:tc>
        <w:tc>
          <w:tcPr>
            <w:tcW w:w="772" w:type="dxa"/>
            <w:vAlign w:val="center"/>
          </w:tcPr>
          <w:p w14:paraId="6BF9B18F">
            <w:pPr>
              <w:jc w:val="center"/>
              <w:rPr>
                <w:rFonts w:ascii="宋体" w:hAnsi="宋体"/>
              </w:rPr>
            </w:pPr>
          </w:p>
        </w:tc>
        <w:tc>
          <w:tcPr>
            <w:tcW w:w="732" w:type="dxa"/>
            <w:vAlign w:val="center"/>
          </w:tcPr>
          <w:p w14:paraId="12EF165D">
            <w:pPr>
              <w:jc w:val="center"/>
              <w:rPr>
                <w:rFonts w:ascii="宋体" w:hAnsi="宋体"/>
              </w:rPr>
            </w:pPr>
          </w:p>
        </w:tc>
        <w:tc>
          <w:tcPr>
            <w:tcW w:w="896" w:type="dxa"/>
            <w:shd w:val="clear" w:color="auto" w:fill="EEECE1"/>
            <w:vAlign w:val="center"/>
          </w:tcPr>
          <w:p w14:paraId="375CF0A9">
            <w:pPr>
              <w:jc w:val="center"/>
              <w:rPr>
                <w:rFonts w:ascii="宋体" w:hAnsi="宋体"/>
              </w:rPr>
            </w:pPr>
          </w:p>
        </w:tc>
        <w:tc>
          <w:tcPr>
            <w:tcW w:w="897" w:type="dxa"/>
            <w:shd w:val="clear" w:color="auto" w:fill="EEECE1"/>
            <w:vAlign w:val="center"/>
          </w:tcPr>
          <w:p w14:paraId="08100DB5">
            <w:pPr>
              <w:jc w:val="center"/>
              <w:rPr>
                <w:rFonts w:ascii="宋体" w:hAnsi="宋体"/>
              </w:rPr>
            </w:pPr>
          </w:p>
        </w:tc>
      </w:tr>
      <w:tr w14:paraId="7761C0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690798DD">
            <w:pPr>
              <w:numPr>
                <w:ilvl w:val="0"/>
                <w:numId w:val="19"/>
              </w:numPr>
              <w:autoSpaceDE/>
              <w:autoSpaceDN/>
              <w:adjustRightInd/>
              <w:jc w:val="center"/>
              <w:rPr>
                <w:rFonts w:ascii="宋体" w:hAnsi="宋体"/>
              </w:rPr>
            </w:pPr>
          </w:p>
        </w:tc>
        <w:tc>
          <w:tcPr>
            <w:tcW w:w="5647" w:type="dxa"/>
            <w:vAlign w:val="center"/>
          </w:tcPr>
          <w:p w14:paraId="2AB04ED9">
            <w:pPr>
              <w:rPr>
                <w:rFonts w:ascii="宋体" w:hAnsi="宋体"/>
              </w:rPr>
            </w:pPr>
            <w:r>
              <w:rPr>
                <w:rFonts w:hint="eastAsia" w:hAnsi="宋体" w:cs="Courier New"/>
              </w:rPr>
              <w:t>中小企业声明函</w:t>
            </w:r>
          </w:p>
        </w:tc>
        <w:tc>
          <w:tcPr>
            <w:tcW w:w="772" w:type="dxa"/>
            <w:vAlign w:val="center"/>
          </w:tcPr>
          <w:p w14:paraId="3421E26B">
            <w:pPr>
              <w:jc w:val="center"/>
              <w:rPr>
                <w:rFonts w:ascii="宋体" w:hAnsi="宋体"/>
              </w:rPr>
            </w:pPr>
          </w:p>
        </w:tc>
        <w:tc>
          <w:tcPr>
            <w:tcW w:w="732" w:type="dxa"/>
            <w:vAlign w:val="center"/>
          </w:tcPr>
          <w:p w14:paraId="09E5338A">
            <w:pPr>
              <w:jc w:val="center"/>
              <w:rPr>
                <w:rFonts w:ascii="宋体" w:hAnsi="宋体"/>
              </w:rPr>
            </w:pPr>
          </w:p>
        </w:tc>
        <w:tc>
          <w:tcPr>
            <w:tcW w:w="896" w:type="dxa"/>
            <w:shd w:val="clear" w:color="auto" w:fill="EEECE1"/>
            <w:vAlign w:val="center"/>
          </w:tcPr>
          <w:p w14:paraId="1B47FB72">
            <w:pPr>
              <w:jc w:val="center"/>
              <w:rPr>
                <w:rFonts w:ascii="宋体" w:hAnsi="宋体"/>
              </w:rPr>
            </w:pPr>
          </w:p>
        </w:tc>
        <w:tc>
          <w:tcPr>
            <w:tcW w:w="897" w:type="dxa"/>
            <w:shd w:val="clear" w:color="auto" w:fill="EEECE1"/>
            <w:vAlign w:val="center"/>
          </w:tcPr>
          <w:p w14:paraId="707610FF">
            <w:pPr>
              <w:jc w:val="center"/>
              <w:rPr>
                <w:rFonts w:ascii="宋体" w:hAnsi="宋体"/>
              </w:rPr>
            </w:pPr>
          </w:p>
        </w:tc>
      </w:tr>
      <w:tr w14:paraId="5046B13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5AF69DEC">
            <w:pPr>
              <w:numPr>
                <w:ilvl w:val="0"/>
                <w:numId w:val="19"/>
              </w:numPr>
              <w:autoSpaceDE/>
              <w:autoSpaceDN/>
              <w:adjustRightInd/>
              <w:jc w:val="center"/>
              <w:rPr>
                <w:rFonts w:ascii="宋体" w:hAnsi="宋体"/>
              </w:rPr>
            </w:pPr>
          </w:p>
        </w:tc>
        <w:tc>
          <w:tcPr>
            <w:tcW w:w="5647" w:type="dxa"/>
            <w:vAlign w:val="center"/>
          </w:tcPr>
          <w:p w14:paraId="2DCCEA37">
            <w:pPr>
              <w:rPr>
                <w:rFonts w:hAnsi="宋体" w:cs="Courier New"/>
              </w:rPr>
            </w:pPr>
            <w:r>
              <w:rPr>
                <w:rFonts w:hint="eastAsia" w:hAnsi="宋体" w:cs="Courier New"/>
              </w:rPr>
              <w:t>监狱企业的证明文件</w:t>
            </w:r>
          </w:p>
        </w:tc>
        <w:tc>
          <w:tcPr>
            <w:tcW w:w="772" w:type="dxa"/>
            <w:vAlign w:val="center"/>
          </w:tcPr>
          <w:p w14:paraId="54C22B91">
            <w:pPr>
              <w:jc w:val="center"/>
              <w:rPr>
                <w:rFonts w:ascii="宋体" w:hAnsi="宋体"/>
              </w:rPr>
            </w:pPr>
          </w:p>
        </w:tc>
        <w:tc>
          <w:tcPr>
            <w:tcW w:w="732" w:type="dxa"/>
            <w:vAlign w:val="center"/>
          </w:tcPr>
          <w:p w14:paraId="5C36CF7B">
            <w:pPr>
              <w:jc w:val="center"/>
              <w:rPr>
                <w:rFonts w:ascii="宋体" w:hAnsi="宋体"/>
              </w:rPr>
            </w:pPr>
          </w:p>
        </w:tc>
        <w:tc>
          <w:tcPr>
            <w:tcW w:w="896" w:type="dxa"/>
            <w:shd w:val="clear" w:color="auto" w:fill="EEECE1"/>
            <w:vAlign w:val="center"/>
          </w:tcPr>
          <w:p w14:paraId="300C968D">
            <w:pPr>
              <w:jc w:val="center"/>
              <w:rPr>
                <w:rFonts w:ascii="宋体" w:hAnsi="宋体"/>
              </w:rPr>
            </w:pPr>
          </w:p>
        </w:tc>
        <w:tc>
          <w:tcPr>
            <w:tcW w:w="897" w:type="dxa"/>
            <w:shd w:val="clear" w:color="auto" w:fill="EEECE1"/>
            <w:vAlign w:val="center"/>
          </w:tcPr>
          <w:p w14:paraId="1A13DBB4">
            <w:pPr>
              <w:jc w:val="center"/>
              <w:rPr>
                <w:rFonts w:ascii="宋体" w:hAnsi="宋体"/>
              </w:rPr>
            </w:pPr>
          </w:p>
        </w:tc>
      </w:tr>
      <w:tr w14:paraId="2B9A9E7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1F7355EE">
            <w:pPr>
              <w:numPr>
                <w:ilvl w:val="0"/>
                <w:numId w:val="19"/>
              </w:numPr>
              <w:autoSpaceDE/>
              <w:autoSpaceDN/>
              <w:adjustRightInd/>
              <w:jc w:val="center"/>
              <w:rPr>
                <w:rFonts w:ascii="宋体" w:hAnsi="宋体"/>
              </w:rPr>
            </w:pPr>
          </w:p>
        </w:tc>
        <w:tc>
          <w:tcPr>
            <w:tcW w:w="5647" w:type="dxa"/>
            <w:vAlign w:val="center"/>
          </w:tcPr>
          <w:p w14:paraId="342871C3">
            <w:pPr>
              <w:rPr>
                <w:rFonts w:hAnsi="宋体" w:cs="Courier New"/>
              </w:rPr>
            </w:pPr>
            <w:r>
              <w:rPr>
                <w:rFonts w:hint="eastAsia" w:hAnsi="宋体" w:cs="Courier New"/>
              </w:rPr>
              <w:t>残疾人福利性单位声明函</w:t>
            </w:r>
          </w:p>
        </w:tc>
        <w:tc>
          <w:tcPr>
            <w:tcW w:w="772" w:type="dxa"/>
            <w:vAlign w:val="center"/>
          </w:tcPr>
          <w:p w14:paraId="5D19CEF8">
            <w:pPr>
              <w:jc w:val="center"/>
              <w:rPr>
                <w:rFonts w:ascii="宋体" w:hAnsi="宋体"/>
              </w:rPr>
            </w:pPr>
          </w:p>
        </w:tc>
        <w:tc>
          <w:tcPr>
            <w:tcW w:w="732" w:type="dxa"/>
            <w:vAlign w:val="center"/>
          </w:tcPr>
          <w:p w14:paraId="6B37251D">
            <w:pPr>
              <w:jc w:val="center"/>
              <w:rPr>
                <w:rFonts w:ascii="宋体" w:hAnsi="宋体"/>
              </w:rPr>
            </w:pPr>
          </w:p>
        </w:tc>
        <w:tc>
          <w:tcPr>
            <w:tcW w:w="896" w:type="dxa"/>
            <w:shd w:val="clear" w:color="auto" w:fill="EEECE1"/>
            <w:vAlign w:val="center"/>
          </w:tcPr>
          <w:p w14:paraId="5C273600">
            <w:pPr>
              <w:jc w:val="center"/>
              <w:rPr>
                <w:rFonts w:ascii="宋体" w:hAnsi="宋体"/>
              </w:rPr>
            </w:pPr>
          </w:p>
        </w:tc>
        <w:tc>
          <w:tcPr>
            <w:tcW w:w="897" w:type="dxa"/>
            <w:shd w:val="clear" w:color="auto" w:fill="EEECE1"/>
            <w:vAlign w:val="center"/>
          </w:tcPr>
          <w:p w14:paraId="4E38E5C5">
            <w:pPr>
              <w:jc w:val="center"/>
              <w:rPr>
                <w:rFonts w:ascii="宋体" w:hAnsi="宋体"/>
              </w:rPr>
            </w:pPr>
          </w:p>
        </w:tc>
      </w:tr>
      <w:tr w14:paraId="3AA6365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7CFE732D">
            <w:pPr>
              <w:numPr>
                <w:ilvl w:val="0"/>
                <w:numId w:val="19"/>
              </w:numPr>
              <w:autoSpaceDE/>
              <w:autoSpaceDN/>
              <w:adjustRightInd/>
              <w:jc w:val="center"/>
              <w:rPr>
                <w:rFonts w:ascii="宋体" w:hAnsi="宋体"/>
              </w:rPr>
            </w:pPr>
          </w:p>
        </w:tc>
        <w:tc>
          <w:tcPr>
            <w:tcW w:w="5647" w:type="dxa"/>
            <w:vAlign w:val="center"/>
          </w:tcPr>
          <w:p w14:paraId="6A4C51B2">
            <w:pPr>
              <w:rPr>
                <w:rFonts w:hAnsi="宋体" w:cs="Courier New"/>
              </w:rPr>
            </w:pPr>
            <w:r>
              <w:rPr>
                <w:rFonts w:hint="eastAsia" w:hAnsi="宋体" w:cs="Courier New"/>
              </w:rPr>
              <w:t>政策适用性说明（如有）</w:t>
            </w:r>
          </w:p>
        </w:tc>
        <w:tc>
          <w:tcPr>
            <w:tcW w:w="772" w:type="dxa"/>
            <w:vAlign w:val="center"/>
          </w:tcPr>
          <w:p w14:paraId="4812C595">
            <w:pPr>
              <w:jc w:val="center"/>
              <w:rPr>
                <w:rFonts w:ascii="宋体" w:hAnsi="宋体"/>
              </w:rPr>
            </w:pPr>
          </w:p>
        </w:tc>
        <w:tc>
          <w:tcPr>
            <w:tcW w:w="732" w:type="dxa"/>
            <w:vAlign w:val="center"/>
          </w:tcPr>
          <w:p w14:paraId="2A47EB79">
            <w:pPr>
              <w:jc w:val="center"/>
              <w:rPr>
                <w:rFonts w:ascii="宋体" w:hAnsi="宋体"/>
              </w:rPr>
            </w:pPr>
          </w:p>
        </w:tc>
        <w:tc>
          <w:tcPr>
            <w:tcW w:w="896" w:type="dxa"/>
            <w:shd w:val="clear" w:color="auto" w:fill="EEECE1"/>
            <w:vAlign w:val="center"/>
          </w:tcPr>
          <w:p w14:paraId="6A37D890">
            <w:pPr>
              <w:jc w:val="center"/>
              <w:rPr>
                <w:rFonts w:ascii="宋体" w:hAnsi="宋体"/>
              </w:rPr>
            </w:pPr>
          </w:p>
        </w:tc>
        <w:tc>
          <w:tcPr>
            <w:tcW w:w="897" w:type="dxa"/>
            <w:shd w:val="clear" w:color="auto" w:fill="EEECE1"/>
            <w:vAlign w:val="center"/>
          </w:tcPr>
          <w:p w14:paraId="2B9EFFF4">
            <w:pPr>
              <w:jc w:val="center"/>
              <w:rPr>
                <w:rFonts w:ascii="宋体" w:hAnsi="宋体"/>
              </w:rPr>
            </w:pPr>
          </w:p>
        </w:tc>
      </w:tr>
      <w:tr w14:paraId="739091C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trPr>
        <w:tc>
          <w:tcPr>
            <w:tcW w:w="674" w:type="dxa"/>
            <w:vAlign w:val="center"/>
          </w:tcPr>
          <w:p w14:paraId="65A4DEA4">
            <w:pPr>
              <w:numPr>
                <w:ilvl w:val="0"/>
                <w:numId w:val="19"/>
              </w:numPr>
              <w:autoSpaceDE/>
              <w:autoSpaceDN/>
              <w:adjustRightInd/>
              <w:jc w:val="center"/>
              <w:rPr>
                <w:rFonts w:ascii="宋体" w:hAnsi="宋体"/>
              </w:rPr>
            </w:pPr>
          </w:p>
        </w:tc>
        <w:tc>
          <w:tcPr>
            <w:tcW w:w="5647" w:type="dxa"/>
            <w:vAlign w:val="center"/>
          </w:tcPr>
          <w:p w14:paraId="0A02F18D">
            <w:pPr>
              <w:rPr>
                <w:rFonts w:ascii="宋体" w:hAnsi="宋体"/>
              </w:rPr>
            </w:pPr>
            <w:r>
              <w:rPr>
                <w:rFonts w:hint="eastAsia" w:ascii="宋体" w:hAnsi="宋体"/>
              </w:rPr>
              <w:t>总体施工方案</w:t>
            </w:r>
          </w:p>
        </w:tc>
        <w:tc>
          <w:tcPr>
            <w:tcW w:w="772" w:type="dxa"/>
            <w:vAlign w:val="center"/>
          </w:tcPr>
          <w:p w14:paraId="1C3596B4">
            <w:pPr>
              <w:jc w:val="center"/>
              <w:rPr>
                <w:rFonts w:ascii="宋体" w:hAnsi="宋体"/>
              </w:rPr>
            </w:pPr>
          </w:p>
        </w:tc>
        <w:tc>
          <w:tcPr>
            <w:tcW w:w="732" w:type="dxa"/>
            <w:vAlign w:val="center"/>
          </w:tcPr>
          <w:p w14:paraId="0106381F">
            <w:pPr>
              <w:jc w:val="center"/>
              <w:rPr>
                <w:rFonts w:ascii="宋体" w:hAnsi="宋体"/>
              </w:rPr>
            </w:pPr>
          </w:p>
        </w:tc>
        <w:tc>
          <w:tcPr>
            <w:tcW w:w="896" w:type="dxa"/>
            <w:shd w:val="clear" w:color="auto" w:fill="EEECE1"/>
            <w:vAlign w:val="center"/>
          </w:tcPr>
          <w:p w14:paraId="135DF056">
            <w:pPr>
              <w:jc w:val="center"/>
              <w:rPr>
                <w:rFonts w:ascii="宋体" w:hAnsi="宋体"/>
              </w:rPr>
            </w:pPr>
          </w:p>
        </w:tc>
        <w:tc>
          <w:tcPr>
            <w:tcW w:w="897" w:type="dxa"/>
            <w:shd w:val="clear" w:color="auto" w:fill="EEECE1"/>
            <w:vAlign w:val="center"/>
          </w:tcPr>
          <w:p w14:paraId="2209A8B1">
            <w:pPr>
              <w:jc w:val="center"/>
              <w:rPr>
                <w:rFonts w:ascii="宋体" w:hAnsi="宋体"/>
              </w:rPr>
            </w:pPr>
          </w:p>
        </w:tc>
      </w:tr>
      <w:tr w14:paraId="153A46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3" w:hRule="atLeast"/>
        </w:trPr>
        <w:tc>
          <w:tcPr>
            <w:tcW w:w="674" w:type="dxa"/>
            <w:vAlign w:val="center"/>
          </w:tcPr>
          <w:p w14:paraId="50712C75">
            <w:pPr>
              <w:numPr>
                <w:ilvl w:val="0"/>
                <w:numId w:val="19"/>
              </w:numPr>
              <w:autoSpaceDE/>
              <w:autoSpaceDN/>
              <w:adjustRightInd/>
              <w:jc w:val="center"/>
              <w:rPr>
                <w:rFonts w:ascii="宋体" w:hAnsi="宋体"/>
              </w:rPr>
            </w:pPr>
          </w:p>
        </w:tc>
        <w:tc>
          <w:tcPr>
            <w:tcW w:w="5647" w:type="dxa"/>
            <w:vAlign w:val="center"/>
          </w:tcPr>
          <w:p w14:paraId="0BB66E00">
            <w:pPr>
              <w:textAlignment w:val="baseline"/>
              <w:rPr>
                <w:rFonts w:ascii="宋体" w:hAnsi="宋体"/>
              </w:rPr>
            </w:pPr>
            <w:r>
              <w:rPr>
                <w:rFonts w:hint="eastAsia" w:ascii="宋体" w:hAnsi="宋体"/>
              </w:rPr>
              <w:t>响应供应商认为需要提供的其它说明和资料</w:t>
            </w:r>
          </w:p>
        </w:tc>
        <w:tc>
          <w:tcPr>
            <w:tcW w:w="772" w:type="dxa"/>
            <w:vAlign w:val="center"/>
          </w:tcPr>
          <w:p w14:paraId="6717CF7E">
            <w:pPr>
              <w:jc w:val="center"/>
              <w:rPr>
                <w:rFonts w:ascii="宋体" w:hAnsi="宋体"/>
              </w:rPr>
            </w:pPr>
          </w:p>
        </w:tc>
        <w:tc>
          <w:tcPr>
            <w:tcW w:w="732" w:type="dxa"/>
            <w:vAlign w:val="center"/>
          </w:tcPr>
          <w:p w14:paraId="56C3FC31">
            <w:pPr>
              <w:jc w:val="center"/>
              <w:rPr>
                <w:rFonts w:ascii="宋体" w:hAnsi="宋体"/>
              </w:rPr>
            </w:pPr>
          </w:p>
        </w:tc>
        <w:tc>
          <w:tcPr>
            <w:tcW w:w="896" w:type="dxa"/>
            <w:shd w:val="clear" w:color="auto" w:fill="EEECE1"/>
            <w:vAlign w:val="center"/>
          </w:tcPr>
          <w:p w14:paraId="1AC99F88">
            <w:pPr>
              <w:jc w:val="center"/>
              <w:rPr>
                <w:rFonts w:ascii="宋体" w:hAnsi="宋体"/>
              </w:rPr>
            </w:pPr>
          </w:p>
        </w:tc>
        <w:tc>
          <w:tcPr>
            <w:tcW w:w="897" w:type="dxa"/>
            <w:shd w:val="clear" w:color="auto" w:fill="EEECE1"/>
            <w:vAlign w:val="center"/>
          </w:tcPr>
          <w:p w14:paraId="1F595A85">
            <w:pPr>
              <w:jc w:val="center"/>
              <w:rPr>
                <w:rFonts w:ascii="宋体" w:hAnsi="宋体"/>
              </w:rPr>
            </w:pPr>
          </w:p>
        </w:tc>
      </w:tr>
      <w:tr w14:paraId="4DB3EC2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9618" w:type="dxa"/>
            <w:gridSpan w:val="6"/>
            <w:vAlign w:val="center"/>
          </w:tcPr>
          <w:p w14:paraId="18ED7CC5">
            <w:pPr>
              <w:jc w:val="center"/>
              <w:rPr>
                <w:rFonts w:ascii="宋体" w:hAnsi="宋体"/>
              </w:rPr>
            </w:pPr>
            <w:r>
              <w:rPr>
                <w:rFonts w:hint="eastAsia" w:ascii="宋体" w:hAnsi="宋体"/>
              </w:rPr>
              <w:t>三、</w:t>
            </w:r>
            <w:r>
              <w:rPr>
                <w:rFonts w:hint="eastAsia" w:ascii="宋体" w:hAnsi="宋体"/>
                <w:b/>
              </w:rPr>
              <w:t>商务文件</w:t>
            </w:r>
          </w:p>
        </w:tc>
      </w:tr>
      <w:tr w14:paraId="4EF156F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01B1EF08">
            <w:pPr>
              <w:numPr>
                <w:ilvl w:val="0"/>
                <w:numId w:val="20"/>
              </w:numPr>
              <w:autoSpaceDE/>
              <w:autoSpaceDN/>
              <w:adjustRightInd/>
              <w:jc w:val="center"/>
              <w:rPr>
                <w:rFonts w:ascii="宋体" w:hAnsi="宋体"/>
              </w:rPr>
            </w:pPr>
          </w:p>
        </w:tc>
        <w:tc>
          <w:tcPr>
            <w:tcW w:w="5647" w:type="dxa"/>
            <w:vAlign w:val="center"/>
          </w:tcPr>
          <w:p w14:paraId="12CA6890">
            <w:pPr>
              <w:pStyle w:val="7"/>
              <w:rPr>
                <w:rFonts w:hAnsi="宋体"/>
                <w:kern w:val="0"/>
              </w:rPr>
            </w:pPr>
            <w:r>
              <w:rPr>
                <w:rFonts w:hint="eastAsia" w:hAnsi="宋体"/>
              </w:rPr>
              <w:t>响应供应商基本情况表</w:t>
            </w:r>
          </w:p>
        </w:tc>
        <w:tc>
          <w:tcPr>
            <w:tcW w:w="772" w:type="dxa"/>
            <w:vAlign w:val="center"/>
          </w:tcPr>
          <w:p w14:paraId="15B996C9">
            <w:pPr>
              <w:jc w:val="center"/>
              <w:rPr>
                <w:rFonts w:ascii="宋体" w:hAnsi="宋体"/>
              </w:rPr>
            </w:pPr>
          </w:p>
        </w:tc>
        <w:tc>
          <w:tcPr>
            <w:tcW w:w="732" w:type="dxa"/>
            <w:vAlign w:val="center"/>
          </w:tcPr>
          <w:p w14:paraId="57B1D6E5">
            <w:pPr>
              <w:jc w:val="center"/>
              <w:rPr>
                <w:rFonts w:ascii="宋体" w:hAnsi="宋体"/>
              </w:rPr>
            </w:pPr>
          </w:p>
        </w:tc>
        <w:tc>
          <w:tcPr>
            <w:tcW w:w="896" w:type="dxa"/>
            <w:shd w:val="clear" w:color="auto" w:fill="EEECE1"/>
            <w:vAlign w:val="center"/>
          </w:tcPr>
          <w:p w14:paraId="30604086">
            <w:pPr>
              <w:jc w:val="center"/>
              <w:rPr>
                <w:rFonts w:ascii="宋体" w:hAnsi="宋体"/>
              </w:rPr>
            </w:pPr>
          </w:p>
        </w:tc>
        <w:tc>
          <w:tcPr>
            <w:tcW w:w="897" w:type="dxa"/>
            <w:shd w:val="clear" w:color="auto" w:fill="EEECE1"/>
            <w:vAlign w:val="center"/>
          </w:tcPr>
          <w:p w14:paraId="11CFF671">
            <w:pPr>
              <w:jc w:val="center"/>
              <w:rPr>
                <w:rFonts w:ascii="宋体" w:hAnsi="宋体"/>
              </w:rPr>
            </w:pPr>
          </w:p>
        </w:tc>
      </w:tr>
      <w:tr w14:paraId="55619B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287E8730">
            <w:pPr>
              <w:numPr>
                <w:ilvl w:val="0"/>
                <w:numId w:val="20"/>
              </w:numPr>
              <w:autoSpaceDE/>
              <w:autoSpaceDN/>
              <w:adjustRightInd/>
              <w:jc w:val="center"/>
              <w:rPr>
                <w:rFonts w:ascii="宋体" w:hAnsi="宋体"/>
              </w:rPr>
            </w:pPr>
          </w:p>
        </w:tc>
        <w:tc>
          <w:tcPr>
            <w:tcW w:w="5647" w:type="dxa"/>
            <w:vAlign w:val="center"/>
          </w:tcPr>
          <w:p w14:paraId="64591EA6">
            <w:pPr>
              <w:snapToGrid w:val="0"/>
              <w:contextualSpacing/>
              <w:rPr>
                <w:rFonts w:hint="eastAsia" w:ascii="宋体" w:hAnsi="宋体" w:eastAsia="宋体"/>
                <w:lang w:eastAsia="zh-CN"/>
              </w:rPr>
            </w:pPr>
            <w:r>
              <w:rPr>
                <w:rFonts w:hint="eastAsia" w:ascii="宋体" w:hAnsi="宋体"/>
                <w:lang w:eastAsia="zh-CN"/>
              </w:rPr>
              <w:t>企业标准</w:t>
            </w:r>
          </w:p>
        </w:tc>
        <w:tc>
          <w:tcPr>
            <w:tcW w:w="772" w:type="dxa"/>
            <w:vAlign w:val="center"/>
          </w:tcPr>
          <w:p w14:paraId="21343F42">
            <w:pPr>
              <w:jc w:val="center"/>
              <w:rPr>
                <w:rFonts w:ascii="宋体" w:hAnsi="宋体"/>
              </w:rPr>
            </w:pPr>
          </w:p>
        </w:tc>
        <w:tc>
          <w:tcPr>
            <w:tcW w:w="732" w:type="dxa"/>
            <w:vAlign w:val="center"/>
          </w:tcPr>
          <w:p w14:paraId="6F6FD0F8">
            <w:pPr>
              <w:jc w:val="center"/>
              <w:rPr>
                <w:rFonts w:ascii="宋体" w:hAnsi="宋体"/>
              </w:rPr>
            </w:pPr>
          </w:p>
        </w:tc>
        <w:tc>
          <w:tcPr>
            <w:tcW w:w="896" w:type="dxa"/>
            <w:shd w:val="clear" w:color="auto" w:fill="EEECE1"/>
            <w:vAlign w:val="center"/>
          </w:tcPr>
          <w:p w14:paraId="516859BC">
            <w:pPr>
              <w:jc w:val="center"/>
              <w:rPr>
                <w:rFonts w:ascii="宋体" w:hAnsi="宋体"/>
              </w:rPr>
            </w:pPr>
          </w:p>
        </w:tc>
        <w:tc>
          <w:tcPr>
            <w:tcW w:w="897" w:type="dxa"/>
            <w:shd w:val="clear" w:color="auto" w:fill="EEECE1"/>
            <w:vAlign w:val="center"/>
          </w:tcPr>
          <w:p w14:paraId="62A36B90">
            <w:pPr>
              <w:jc w:val="center"/>
              <w:rPr>
                <w:rFonts w:ascii="宋体" w:hAnsi="宋体"/>
              </w:rPr>
            </w:pPr>
          </w:p>
        </w:tc>
      </w:tr>
      <w:tr w14:paraId="78B6A0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571FCB12">
            <w:pPr>
              <w:numPr>
                <w:ilvl w:val="0"/>
                <w:numId w:val="20"/>
              </w:numPr>
              <w:autoSpaceDE/>
              <w:autoSpaceDN/>
              <w:adjustRightInd/>
              <w:jc w:val="center"/>
              <w:rPr>
                <w:rFonts w:ascii="宋体" w:hAnsi="宋体"/>
              </w:rPr>
            </w:pPr>
          </w:p>
        </w:tc>
        <w:tc>
          <w:tcPr>
            <w:tcW w:w="5647" w:type="dxa"/>
            <w:vAlign w:val="center"/>
          </w:tcPr>
          <w:p w14:paraId="66F6E19A">
            <w:pPr>
              <w:snapToGrid w:val="0"/>
              <w:contextualSpacing/>
              <w:rPr>
                <w:rFonts w:ascii="宋体" w:hAnsi="宋体"/>
              </w:rPr>
            </w:pPr>
            <w:r>
              <w:rPr>
                <w:rFonts w:hint="eastAsia" w:ascii="宋体" w:hAnsi="宋体"/>
              </w:rPr>
              <w:t>项目业绩</w:t>
            </w:r>
          </w:p>
        </w:tc>
        <w:tc>
          <w:tcPr>
            <w:tcW w:w="772" w:type="dxa"/>
            <w:vAlign w:val="center"/>
          </w:tcPr>
          <w:p w14:paraId="06098706">
            <w:pPr>
              <w:jc w:val="center"/>
              <w:rPr>
                <w:rFonts w:ascii="宋体" w:hAnsi="宋体"/>
              </w:rPr>
            </w:pPr>
          </w:p>
        </w:tc>
        <w:tc>
          <w:tcPr>
            <w:tcW w:w="732" w:type="dxa"/>
            <w:vAlign w:val="center"/>
          </w:tcPr>
          <w:p w14:paraId="05E82789">
            <w:pPr>
              <w:jc w:val="center"/>
              <w:rPr>
                <w:rFonts w:ascii="宋体" w:hAnsi="宋体"/>
              </w:rPr>
            </w:pPr>
          </w:p>
        </w:tc>
        <w:tc>
          <w:tcPr>
            <w:tcW w:w="896" w:type="dxa"/>
            <w:shd w:val="clear" w:color="auto" w:fill="EEECE1"/>
            <w:vAlign w:val="center"/>
          </w:tcPr>
          <w:p w14:paraId="38880B1C">
            <w:pPr>
              <w:jc w:val="center"/>
              <w:rPr>
                <w:rFonts w:ascii="宋体" w:hAnsi="宋体"/>
              </w:rPr>
            </w:pPr>
          </w:p>
        </w:tc>
        <w:tc>
          <w:tcPr>
            <w:tcW w:w="897" w:type="dxa"/>
            <w:shd w:val="clear" w:color="auto" w:fill="EEECE1"/>
            <w:vAlign w:val="center"/>
          </w:tcPr>
          <w:p w14:paraId="1D99E15F">
            <w:pPr>
              <w:jc w:val="center"/>
              <w:rPr>
                <w:rFonts w:ascii="宋体" w:hAnsi="宋体"/>
              </w:rPr>
            </w:pPr>
          </w:p>
        </w:tc>
      </w:tr>
      <w:tr w14:paraId="572EC5C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03C05515">
            <w:pPr>
              <w:numPr>
                <w:ilvl w:val="0"/>
                <w:numId w:val="20"/>
              </w:numPr>
              <w:autoSpaceDE/>
              <w:autoSpaceDN/>
              <w:adjustRightInd/>
              <w:jc w:val="center"/>
              <w:rPr>
                <w:rFonts w:ascii="宋体" w:hAnsi="宋体"/>
              </w:rPr>
            </w:pPr>
          </w:p>
        </w:tc>
        <w:tc>
          <w:tcPr>
            <w:tcW w:w="5647" w:type="dxa"/>
            <w:vAlign w:val="center"/>
          </w:tcPr>
          <w:p w14:paraId="14F9A12C">
            <w:pPr>
              <w:snapToGrid w:val="0"/>
              <w:contextualSpacing/>
              <w:rPr>
                <w:rFonts w:ascii="宋体" w:hAnsi="宋体"/>
              </w:rPr>
            </w:pPr>
            <w:r>
              <w:rPr>
                <w:rFonts w:hint="eastAsia" w:ascii="宋体" w:hAnsi="宋体"/>
              </w:rPr>
              <w:t>项目负责人及团队成员一览表</w:t>
            </w:r>
          </w:p>
        </w:tc>
        <w:tc>
          <w:tcPr>
            <w:tcW w:w="772" w:type="dxa"/>
            <w:vAlign w:val="center"/>
          </w:tcPr>
          <w:p w14:paraId="584DCE80">
            <w:pPr>
              <w:jc w:val="center"/>
              <w:rPr>
                <w:rFonts w:ascii="宋体" w:hAnsi="宋体"/>
              </w:rPr>
            </w:pPr>
          </w:p>
        </w:tc>
        <w:tc>
          <w:tcPr>
            <w:tcW w:w="732" w:type="dxa"/>
            <w:vAlign w:val="center"/>
          </w:tcPr>
          <w:p w14:paraId="156BDC75">
            <w:pPr>
              <w:jc w:val="center"/>
              <w:rPr>
                <w:rFonts w:ascii="宋体" w:hAnsi="宋体"/>
              </w:rPr>
            </w:pPr>
          </w:p>
        </w:tc>
        <w:tc>
          <w:tcPr>
            <w:tcW w:w="896" w:type="dxa"/>
            <w:shd w:val="clear" w:color="auto" w:fill="EEECE1"/>
            <w:vAlign w:val="center"/>
          </w:tcPr>
          <w:p w14:paraId="1F72B2CC">
            <w:pPr>
              <w:jc w:val="center"/>
              <w:rPr>
                <w:rFonts w:ascii="宋体" w:hAnsi="宋体"/>
              </w:rPr>
            </w:pPr>
          </w:p>
        </w:tc>
        <w:tc>
          <w:tcPr>
            <w:tcW w:w="897" w:type="dxa"/>
            <w:shd w:val="clear" w:color="auto" w:fill="EEECE1"/>
            <w:vAlign w:val="center"/>
          </w:tcPr>
          <w:p w14:paraId="494CBCA9">
            <w:pPr>
              <w:jc w:val="center"/>
              <w:rPr>
                <w:rFonts w:ascii="宋体" w:hAnsi="宋体"/>
              </w:rPr>
            </w:pPr>
          </w:p>
        </w:tc>
      </w:tr>
      <w:tr w14:paraId="2269E3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7476A7A4">
            <w:pPr>
              <w:numPr>
                <w:ilvl w:val="0"/>
                <w:numId w:val="20"/>
              </w:numPr>
              <w:autoSpaceDE/>
              <w:autoSpaceDN/>
              <w:adjustRightInd/>
              <w:jc w:val="center"/>
              <w:rPr>
                <w:rFonts w:ascii="宋体" w:hAnsi="宋体"/>
              </w:rPr>
            </w:pPr>
          </w:p>
        </w:tc>
        <w:tc>
          <w:tcPr>
            <w:tcW w:w="5647" w:type="dxa"/>
            <w:vAlign w:val="center"/>
          </w:tcPr>
          <w:p w14:paraId="2779A1B1">
            <w:pPr>
              <w:pStyle w:val="7"/>
              <w:rPr>
                <w:rFonts w:hAnsi="宋体"/>
                <w:kern w:val="0"/>
              </w:rPr>
            </w:pPr>
            <w:r>
              <w:rPr>
                <w:rFonts w:hint="eastAsia" w:hAnsi="宋体"/>
              </w:rPr>
              <w:t>合同条款响应一览表</w:t>
            </w:r>
          </w:p>
        </w:tc>
        <w:tc>
          <w:tcPr>
            <w:tcW w:w="772" w:type="dxa"/>
            <w:vAlign w:val="center"/>
          </w:tcPr>
          <w:p w14:paraId="4055670A">
            <w:pPr>
              <w:jc w:val="center"/>
              <w:rPr>
                <w:rFonts w:ascii="宋体" w:hAnsi="宋体"/>
              </w:rPr>
            </w:pPr>
          </w:p>
        </w:tc>
        <w:tc>
          <w:tcPr>
            <w:tcW w:w="732" w:type="dxa"/>
            <w:vAlign w:val="center"/>
          </w:tcPr>
          <w:p w14:paraId="5F481EC9">
            <w:pPr>
              <w:jc w:val="center"/>
              <w:rPr>
                <w:rFonts w:ascii="宋体" w:hAnsi="宋体"/>
              </w:rPr>
            </w:pPr>
          </w:p>
        </w:tc>
        <w:tc>
          <w:tcPr>
            <w:tcW w:w="896" w:type="dxa"/>
            <w:shd w:val="clear" w:color="auto" w:fill="EEECE1"/>
            <w:vAlign w:val="center"/>
          </w:tcPr>
          <w:p w14:paraId="4FE63BBB">
            <w:pPr>
              <w:jc w:val="center"/>
              <w:rPr>
                <w:rFonts w:ascii="宋体" w:hAnsi="宋体"/>
              </w:rPr>
            </w:pPr>
          </w:p>
        </w:tc>
        <w:tc>
          <w:tcPr>
            <w:tcW w:w="897" w:type="dxa"/>
            <w:shd w:val="clear" w:color="auto" w:fill="EEECE1"/>
            <w:vAlign w:val="center"/>
          </w:tcPr>
          <w:p w14:paraId="4AB3B54A">
            <w:pPr>
              <w:jc w:val="center"/>
              <w:rPr>
                <w:rFonts w:ascii="宋体" w:hAnsi="宋体"/>
              </w:rPr>
            </w:pPr>
          </w:p>
        </w:tc>
      </w:tr>
      <w:tr w14:paraId="5BFE5B4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18001B48">
            <w:pPr>
              <w:numPr>
                <w:ilvl w:val="0"/>
                <w:numId w:val="20"/>
              </w:numPr>
              <w:autoSpaceDE/>
              <w:autoSpaceDN/>
              <w:adjustRightInd/>
              <w:jc w:val="center"/>
              <w:rPr>
                <w:rFonts w:ascii="宋体" w:hAnsi="宋体"/>
              </w:rPr>
            </w:pPr>
          </w:p>
        </w:tc>
        <w:tc>
          <w:tcPr>
            <w:tcW w:w="5647" w:type="dxa"/>
            <w:vAlign w:val="center"/>
          </w:tcPr>
          <w:p w14:paraId="6E1C4873">
            <w:pPr>
              <w:pStyle w:val="7"/>
              <w:rPr>
                <w:rFonts w:hAnsi="宋体"/>
                <w:kern w:val="0"/>
              </w:rPr>
            </w:pPr>
            <w:r>
              <w:rPr>
                <w:rFonts w:hint="eastAsia" w:hAnsi="宋体"/>
                <w:kern w:val="0"/>
              </w:rPr>
              <w:t>资料原件提交清单</w:t>
            </w:r>
          </w:p>
        </w:tc>
        <w:tc>
          <w:tcPr>
            <w:tcW w:w="772" w:type="dxa"/>
            <w:vAlign w:val="center"/>
          </w:tcPr>
          <w:p w14:paraId="156C43C5">
            <w:pPr>
              <w:jc w:val="center"/>
              <w:rPr>
                <w:rFonts w:ascii="宋体" w:hAnsi="宋体"/>
              </w:rPr>
            </w:pPr>
          </w:p>
        </w:tc>
        <w:tc>
          <w:tcPr>
            <w:tcW w:w="732" w:type="dxa"/>
            <w:vAlign w:val="center"/>
          </w:tcPr>
          <w:p w14:paraId="3C5056E2">
            <w:pPr>
              <w:jc w:val="center"/>
              <w:rPr>
                <w:rFonts w:ascii="宋体" w:hAnsi="宋体"/>
              </w:rPr>
            </w:pPr>
          </w:p>
        </w:tc>
        <w:tc>
          <w:tcPr>
            <w:tcW w:w="896" w:type="dxa"/>
            <w:shd w:val="clear" w:color="auto" w:fill="EEECE1"/>
            <w:vAlign w:val="center"/>
          </w:tcPr>
          <w:p w14:paraId="229E64B9">
            <w:pPr>
              <w:jc w:val="center"/>
              <w:rPr>
                <w:rFonts w:ascii="宋体" w:hAnsi="宋体"/>
              </w:rPr>
            </w:pPr>
          </w:p>
        </w:tc>
        <w:tc>
          <w:tcPr>
            <w:tcW w:w="897" w:type="dxa"/>
            <w:shd w:val="clear" w:color="auto" w:fill="EEECE1"/>
            <w:vAlign w:val="center"/>
          </w:tcPr>
          <w:p w14:paraId="1D3386AD">
            <w:pPr>
              <w:jc w:val="center"/>
              <w:rPr>
                <w:rFonts w:ascii="宋体" w:hAnsi="宋体"/>
              </w:rPr>
            </w:pPr>
          </w:p>
        </w:tc>
      </w:tr>
      <w:tr w14:paraId="1D0B492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42E8DD53">
            <w:pPr>
              <w:numPr>
                <w:ilvl w:val="0"/>
                <w:numId w:val="20"/>
              </w:numPr>
              <w:autoSpaceDE/>
              <w:autoSpaceDN/>
              <w:adjustRightInd/>
              <w:jc w:val="center"/>
              <w:rPr>
                <w:rFonts w:ascii="宋体" w:hAnsi="宋体"/>
              </w:rPr>
            </w:pPr>
          </w:p>
        </w:tc>
        <w:tc>
          <w:tcPr>
            <w:tcW w:w="5647" w:type="dxa"/>
            <w:vAlign w:val="center"/>
          </w:tcPr>
          <w:p w14:paraId="1F442067">
            <w:pPr>
              <w:textAlignment w:val="baseline"/>
              <w:rPr>
                <w:rFonts w:ascii="宋体" w:hAnsi="宋体"/>
              </w:rPr>
            </w:pPr>
            <w:r>
              <w:rPr>
                <w:rFonts w:hint="eastAsia" w:ascii="宋体" w:hAnsi="宋体"/>
              </w:rPr>
              <w:t>响应供应商认为需要提供的其他商务资料</w:t>
            </w:r>
          </w:p>
        </w:tc>
        <w:tc>
          <w:tcPr>
            <w:tcW w:w="772" w:type="dxa"/>
            <w:vAlign w:val="center"/>
          </w:tcPr>
          <w:p w14:paraId="039D983C">
            <w:pPr>
              <w:jc w:val="center"/>
              <w:rPr>
                <w:rFonts w:ascii="宋体" w:hAnsi="宋体"/>
              </w:rPr>
            </w:pPr>
          </w:p>
        </w:tc>
        <w:tc>
          <w:tcPr>
            <w:tcW w:w="732" w:type="dxa"/>
            <w:vAlign w:val="center"/>
          </w:tcPr>
          <w:p w14:paraId="05D02435">
            <w:pPr>
              <w:jc w:val="center"/>
              <w:rPr>
                <w:rFonts w:ascii="宋体" w:hAnsi="宋体"/>
              </w:rPr>
            </w:pPr>
          </w:p>
        </w:tc>
        <w:tc>
          <w:tcPr>
            <w:tcW w:w="896" w:type="dxa"/>
            <w:shd w:val="clear" w:color="auto" w:fill="EEECE1"/>
            <w:vAlign w:val="center"/>
          </w:tcPr>
          <w:p w14:paraId="3D99F173">
            <w:pPr>
              <w:jc w:val="center"/>
              <w:rPr>
                <w:rFonts w:ascii="宋体" w:hAnsi="宋体"/>
              </w:rPr>
            </w:pPr>
          </w:p>
        </w:tc>
        <w:tc>
          <w:tcPr>
            <w:tcW w:w="897" w:type="dxa"/>
            <w:shd w:val="clear" w:color="auto" w:fill="EEECE1"/>
            <w:vAlign w:val="center"/>
          </w:tcPr>
          <w:p w14:paraId="54A587A9">
            <w:pPr>
              <w:jc w:val="center"/>
              <w:rPr>
                <w:rFonts w:ascii="宋体" w:hAnsi="宋体"/>
              </w:rPr>
            </w:pPr>
          </w:p>
        </w:tc>
      </w:tr>
    </w:tbl>
    <w:p w14:paraId="21BA4D98">
      <w:pPr>
        <w:widowControl/>
        <w:autoSpaceDE/>
        <w:autoSpaceDN/>
        <w:adjustRightInd/>
        <w:rPr>
          <w:rFonts w:ascii="黑体" w:eastAsia="黑体"/>
          <w:bCs/>
          <w:sz w:val="28"/>
        </w:rPr>
      </w:pPr>
    </w:p>
    <w:p w14:paraId="2C080042">
      <w:pPr>
        <w:widowControl/>
        <w:autoSpaceDE/>
        <w:autoSpaceDN/>
        <w:adjustRightInd/>
        <w:jc w:val="center"/>
        <w:rPr>
          <w:rFonts w:ascii="仿宋_GB2312" w:eastAsia="仿宋_GB2312"/>
          <w:b/>
          <w:kern w:val="2"/>
          <w:sz w:val="28"/>
          <w:szCs w:val="28"/>
        </w:rPr>
      </w:pPr>
      <w:bookmarkStart w:id="52" w:name="_Toc275865605"/>
      <w:bookmarkStart w:id="53" w:name="_Toc410738977"/>
      <w:bookmarkStart w:id="54" w:name="_Toc416771364"/>
      <w:bookmarkStart w:id="55" w:name="_Toc410736178"/>
      <w:bookmarkStart w:id="56" w:name="_Toc416770254"/>
    </w:p>
    <w:p w14:paraId="065149DF">
      <w:pPr>
        <w:rPr>
          <w:rFonts w:ascii="仿宋_GB2312" w:eastAsia="仿宋_GB2312"/>
          <w:b/>
          <w:kern w:val="2"/>
          <w:sz w:val="28"/>
          <w:szCs w:val="28"/>
        </w:rPr>
      </w:pPr>
      <w:r>
        <w:rPr>
          <w:rFonts w:hint="eastAsia" w:ascii="仿宋_GB2312" w:eastAsia="仿宋_GB2312"/>
          <w:b/>
          <w:kern w:val="2"/>
          <w:sz w:val="28"/>
          <w:szCs w:val="28"/>
        </w:rPr>
        <w:br w:type="page"/>
      </w:r>
    </w:p>
    <w:p w14:paraId="0BDA00F7">
      <w:pPr>
        <w:widowControl/>
        <w:autoSpaceDE/>
        <w:autoSpaceDN/>
        <w:adjustRightInd/>
        <w:jc w:val="center"/>
        <w:rPr>
          <w:rFonts w:ascii="仿宋_GB2312" w:eastAsia="仿宋_GB2312"/>
          <w:b/>
          <w:kern w:val="2"/>
          <w:sz w:val="28"/>
          <w:szCs w:val="28"/>
        </w:rPr>
      </w:pPr>
      <w:r>
        <w:rPr>
          <w:rFonts w:hint="eastAsia" w:ascii="仿宋_GB2312" w:eastAsia="仿宋_GB2312"/>
          <w:b/>
          <w:kern w:val="2"/>
          <w:sz w:val="28"/>
          <w:szCs w:val="28"/>
        </w:rPr>
        <w:t xml:space="preserve">磋 商 </w:t>
      </w:r>
      <w:bookmarkEnd w:id="52"/>
      <w:r>
        <w:rPr>
          <w:rFonts w:hint="eastAsia" w:ascii="仿宋_GB2312" w:eastAsia="仿宋_GB2312"/>
          <w:b/>
          <w:kern w:val="2"/>
          <w:sz w:val="28"/>
          <w:szCs w:val="28"/>
        </w:rPr>
        <w:t>函</w:t>
      </w:r>
      <w:bookmarkEnd w:id="53"/>
      <w:bookmarkEnd w:id="54"/>
      <w:bookmarkEnd w:id="55"/>
      <w:bookmarkEnd w:id="56"/>
    </w:p>
    <w:p w14:paraId="01A37A1D">
      <w:pPr>
        <w:snapToGrid w:val="0"/>
        <w:spacing w:beforeLines="50" w:afterLines="50" w:line="360" w:lineRule="auto"/>
        <w:rPr>
          <w:rFonts w:ascii="宋体" w:hAnsi="宋体"/>
          <w:b/>
        </w:rPr>
      </w:pPr>
      <w:r>
        <w:rPr>
          <w:rFonts w:hint="eastAsia" w:ascii="宋体" w:hAnsi="宋体"/>
          <w:b/>
        </w:rPr>
        <w:t>致：广东群升招标代理有限公司汕头分公司</w:t>
      </w:r>
    </w:p>
    <w:p w14:paraId="0EC42103">
      <w:pPr>
        <w:spacing w:line="360" w:lineRule="auto"/>
        <w:ind w:left="105" w:leftChars="50" w:firstLine="420" w:firstLineChars="200"/>
        <w:rPr>
          <w:rFonts w:ascii="宋体" w:hAnsi="宋体"/>
        </w:rPr>
      </w:pPr>
      <w:r>
        <w:rPr>
          <w:rFonts w:hint="eastAsia" w:ascii="宋体" w:hAnsi="宋体"/>
        </w:rPr>
        <w:t>我方确认收到贵方</w:t>
      </w:r>
      <w:r>
        <w:rPr>
          <w:rFonts w:hint="eastAsia" w:ascii="宋体" w:hAnsi="宋体"/>
          <w:lang w:val="en-US" w:eastAsia="zh-CN"/>
        </w:rPr>
        <w:t xml:space="preserve"> </w:t>
      </w:r>
      <w:r>
        <w:rPr>
          <w:rFonts w:hint="eastAsia" w:ascii="宋体" w:hAnsi="宋体"/>
          <w:u w:val="single"/>
          <w:lang w:eastAsia="zh-CN"/>
        </w:rPr>
        <w:t>南澳县博物馆消防维护修理及监控设备合并扩容项目</w:t>
      </w:r>
      <w:r>
        <w:rPr>
          <w:rFonts w:hint="eastAsia" w:ascii="宋体" w:hAnsi="宋体"/>
          <w:u w:val="single"/>
          <w:lang w:val="en-US" w:eastAsia="zh-CN"/>
        </w:rPr>
        <w:t xml:space="preserve"> </w:t>
      </w:r>
      <w:r>
        <w:rPr>
          <w:rFonts w:hint="eastAsia" w:ascii="宋体" w:hAnsi="宋体"/>
          <w:kern w:val="28"/>
        </w:rPr>
        <w:t>采购</w:t>
      </w:r>
      <w:r>
        <w:rPr>
          <w:rFonts w:hint="eastAsia" w:ascii="宋体" w:hAnsi="宋体"/>
        </w:rPr>
        <w:t>货物及相关服务的竞争性磋商文件（项目编号：</w:t>
      </w:r>
      <w:r>
        <w:rPr>
          <w:rFonts w:hint="eastAsia" w:ascii="宋体" w:hAnsi="宋体"/>
          <w:lang w:eastAsia="zh-CN"/>
        </w:rPr>
        <w:t>GDQSST2024JC12002S</w:t>
      </w:r>
      <w:r>
        <w:rPr>
          <w:rFonts w:hint="eastAsia" w:ascii="宋体" w:hAnsi="宋体"/>
        </w:rPr>
        <w:t>），</w:t>
      </w:r>
      <w:r>
        <w:rPr>
          <w:rFonts w:hint="eastAsia" w:ascii="宋体" w:hAnsi="宋体"/>
          <w:u w:val="single"/>
        </w:rPr>
        <w:t xml:space="preserve"> (响应供应商名称、地址)</w:t>
      </w:r>
      <w:r>
        <w:rPr>
          <w:rFonts w:hint="eastAsia" w:ascii="宋体" w:hAnsi="宋体"/>
        </w:rPr>
        <w:t>作为响应供应商已正式授权《法定代表人授权委托书》中的授权代表为我方签名代表，代表我方提交响应文件进行磋商。</w:t>
      </w:r>
    </w:p>
    <w:p w14:paraId="08BC39ED">
      <w:pPr>
        <w:spacing w:line="360" w:lineRule="auto"/>
        <w:ind w:firstLine="420" w:firstLineChars="200"/>
        <w:rPr>
          <w:rFonts w:ascii="宋体" w:hAnsi="宋体"/>
        </w:rPr>
      </w:pPr>
      <w:r>
        <w:rPr>
          <w:rFonts w:hint="eastAsia" w:ascii="宋体" w:hAnsi="宋体"/>
        </w:rPr>
        <w:t>签名代表在此声明并同意：</w:t>
      </w:r>
    </w:p>
    <w:p w14:paraId="69C62038">
      <w:pPr>
        <w:numPr>
          <w:ilvl w:val="0"/>
          <w:numId w:val="21"/>
        </w:numPr>
        <w:autoSpaceDE/>
        <w:autoSpaceDN/>
        <w:snapToGrid w:val="0"/>
        <w:spacing w:line="360" w:lineRule="auto"/>
        <w:jc w:val="both"/>
        <w:rPr>
          <w:rFonts w:ascii="宋体" w:hAnsi="宋体"/>
          <w:b/>
        </w:rPr>
      </w:pPr>
      <w:r>
        <w:rPr>
          <w:rFonts w:hint="eastAsia" w:ascii="宋体" w:hAnsi="宋体"/>
          <w:b/>
        </w:rPr>
        <w:t>我们愿意遵守采购代理机构发布竞争性磋商文件的各项规定，自愿参加磋商</w:t>
      </w:r>
      <w:r>
        <w:rPr>
          <w:rFonts w:ascii="宋体" w:hAnsi="宋体"/>
          <w:b/>
        </w:rPr>
        <w:t>,</w:t>
      </w:r>
      <w:r>
        <w:rPr>
          <w:rFonts w:hint="eastAsia" w:ascii="宋体" w:hAnsi="宋体"/>
          <w:b/>
        </w:rPr>
        <w:t xml:space="preserve"> 并已清楚竞争性磋商文件的要求及有关文件规定，并严格按照竞争性磋商文件的规定履行全部责任和义务。</w:t>
      </w:r>
    </w:p>
    <w:p w14:paraId="0668D7E0">
      <w:pPr>
        <w:numPr>
          <w:ilvl w:val="0"/>
          <w:numId w:val="21"/>
        </w:numPr>
        <w:autoSpaceDE/>
        <w:autoSpaceDN/>
        <w:snapToGrid w:val="0"/>
        <w:spacing w:line="360" w:lineRule="auto"/>
        <w:jc w:val="both"/>
        <w:rPr>
          <w:rFonts w:ascii="宋体" w:hAnsi="宋体"/>
          <w:b/>
        </w:rPr>
      </w:pPr>
      <w:r>
        <w:rPr>
          <w:rFonts w:hint="eastAsia" w:ascii="宋体" w:hAnsi="宋体"/>
          <w:b/>
        </w:rPr>
        <w:t>我们同意本磋商自磋商截止之日起</w:t>
      </w:r>
      <w:r>
        <w:rPr>
          <w:rFonts w:hint="eastAsia" w:ascii="宋体" w:hAnsi="宋体"/>
          <w:b/>
          <w:u w:val="single"/>
        </w:rPr>
        <w:t>90</w:t>
      </w:r>
      <w:r>
        <w:rPr>
          <w:rFonts w:hint="eastAsia" w:ascii="宋体" w:hAnsi="宋体"/>
          <w:b/>
        </w:rPr>
        <w:t>天内有效。</w:t>
      </w:r>
    </w:p>
    <w:p w14:paraId="1D15F571">
      <w:pPr>
        <w:numPr>
          <w:ilvl w:val="0"/>
          <w:numId w:val="21"/>
        </w:numPr>
        <w:autoSpaceDE/>
        <w:autoSpaceDN/>
        <w:snapToGrid w:val="0"/>
        <w:spacing w:line="360" w:lineRule="auto"/>
        <w:jc w:val="both"/>
        <w:rPr>
          <w:rFonts w:ascii="宋体" w:hAnsi="宋体"/>
          <w:b/>
        </w:rPr>
      </w:pPr>
      <w:r>
        <w:rPr>
          <w:rFonts w:hint="eastAsia" w:ascii="宋体" w:hAnsi="宋体"/>
          <w:b/>
        </w:rPr>
        <w:t>我们承诺从本项目递交响应文件截止时间起，本投标始终有效且不予撤销已递交的响应文件。</w:t>
      </w:r>
    </w:p>
    <w:p w14:paraId="5F9E6A67">
      <w:pPr>
        <w:numPr>
          <w:ilvl w:val="0"/>
          <w:numId w:val="21"/>
        </w:numPr>
        <w:autoSpaceDE/>
        <w:autoSpaceDN/>
        <w:snapToGrid w:val="0"/>
        <w:spacing w:line="360" w:lineRule="auto"/>
        <w:jc w:val="both"/>
        <w:rPr>
          <w:rFonts w:ascii="宋体" w:hAnsi="宋体"/>
          <w:b/>
        </w:rPr>
      </w:pPr>
      <w:r>
        <w:rPr>
          <w:rFonts w:hint="eastAsia" w:ascii="宋体" w:hAnsi="宋体"/>
          <w:b/>
        </w:rPr>
        <w:t>我们已经详细地阅读并完全明白了全部竞争性磋商文件及附件，包括澄清（如有）及参考文件，我们完全理解本竞争性磋商文件的要求，</w:t>
      </w:r>
      <w:r>
        <w:rPr>
          <w:rFonts w:hint="eastAsia" w:ascii="宋体"/>
          <w:b/>
        </w:rPr>
        <w:t>我们同意放弃对竞争性磋商文件提出不明或误解的一切权力</w:t>
      </w:r>
      <w:r>
        <w:rPr>
          <w:rFonts w:hint="eastAsia" w:ascii="宋体" w:hAnsi="宋体"/>
          <w:b/>
        </w:rPr>
        <w:t>。</w:t>
      </w:r>
    </w:p>
    <w:p w14:paraId="246E42A9">
      <w:pPr>
        <w:numPr>
          <w:ilvl w:val="0"/>
          <w:numId w:val="21"/>
        </w:numPr>
        <w:autoSpaceDE/>
        <w:autoSpaceDN/>
        <w:snapToGrid w:val="0"/>
        <w:spacing w:line="360" w:lineRule="auto"/>
        <w:jc w:val="both"/>
        <w:rPr>
          <w:rFonts w:ascii="宋体" w:hAnsi="宋体"/>
          <w:b/>
        </w:rPr>
      </w:pPr>
      <w:r>
        <w:rPr>
          <w:rFonts w:hint="eastAsia" w:ascii="宋体" w:hAnsi="宋体"/>
          <w:b/>
        </w:rPr>
        <w:t>我们同意提供招标采购单位与磋商小组要求的有关磋商的一切数据或资料。</w:t>
      </w:r>
    </w:p>
    <w:p w14:paraId="788FDD29">
      <w:pPr>
        <w:numPr>
          <w:ilvl w:val="0"/>
          <w:numId w:val="21"/>
        </w:numPr>
        <w:autoSpaceDE/>
        <w:autoSpaceDN/>
        <w:snapToGrid w:val="0"/>
        <w:spacing w:line="360" w:lineRule="auto"/>
        <w:jc w:val="both"/>
        <w:rPr>
          <w:rFonts w:ascii="宋体" w:hAnsi="宋体"/>
          <w:b/>
        </w:rPr>
      </w:pPr>
      <w:r>
        <w:rPr>
          <w:rFonts w:hint="eastAsia" w:ascii="宋体" w:hAnsi="宋体"/>
          <w:b/>
        </w:rPr>
        <w:t>我们理解招标采购单位与磋商小组并无义务必须接受最低报价的磋商或其它任何磋商，完全理解采购代理机构拒绝迟到的任何磋商和最低磋商报价不是被授予成交的唯一条件。</w:t>
      </w:r>
    </w:p>
    <w:p w14:paraId="62847E5F">
      <w:pPr>
        <w:numPr>
          <w:ilvl w:val="0"/>
          <w:numId w:val="21"/>
        </w:numPr>
        <w:autoSpaceDE/>
        <w:autoSpaceDN/>
        <w:snapToGrid w:val="0"/>
        <w:spacing w:line="360" w:lineRule="auto"/>
        <w:jc w:val="both"/>
        <w:rPr>
          <w:rFonts w:ascii="宋体" w:hAnsi="宋体"/>
          <w:b/>
        </w:rPr>
      </w:pPr>
      <w:r>
        <w:rPr>
          <w:rFonts w:hint="eastAsia" w:ascii="宋体" w:hAnsi="宋体"/>
          <w:b/>
        </w:rPr>
        <w:t xml:space="preserve">如果我们未对竞争性磋商文件全部要求作出实质性响应，则完全同意并接受按无效磋商处理。 </w:t>
      </w:r>
    </w:p>
    <w:p w14:paraId="56481742">
      <w:pPr>
        <w:numPr>
          <w:ilvl w:val="0"/>
          <w:numId w:val="21"/>
        </w:numPr>
        <w:autoSpaceDE/>
        <w:autoSpaceDN/>
        <w:snapToGrid w:val="0"/>
        <w:spacing w:line="360" w:lineRule="auto"/>
        <w:jc w:val="both"/>
        <w:rPr>
          <w:rFonts w:ascii="宋体" w:hAnsi="宋体"/>
          <w:b/>
        </w:rPr>
      </w:pPr>
      <w:r>
        <w:rPr>
          <w:rFonts w:hint="eastAsia" w:ascii="宋体" w:hAnsi="宋体"/>
          <w:b/>
        </w:rPr>
        <w:t>我们证明提交的一切文件，无论是原件还是复印件均为准确、真实、有效、完整的，绝无任何虚假、伪造或者夸大。我们在此郑重承诺：在本次招标采购活动中，如有违法、违规、弄虚作假行为，所造成的损失、不良后果及法律责任，一律由我公司（企业）承担。</w:t>
      </w:r>
    </w:p>
    <w:p w14:paraId="66DE3C9A">
      <w:pPr>
        <w:numPr>
          <w:ilvl w:val="0"/>
          <w:numId w:val="21"/>
        </w:numPr>
        <w:autoSpaceDE/>
        <w:autoSpaceDN/>
        <w:adjustRightInd/>
        <w:snapToGrid w:val="0"/>
        <w:spacing w:line="360" w:lineRule="auto"/>
        <w:jc w:val="both"/>
        <w:rPr>
          <w:rFonts w:ascii="宋体" w:hAnsi="宋体"/>
          <w:b/>
        </w:rPr>
      </w:pPr>
      <w:r>
        <w:rPr>
          <w:rFonts w:hint="eastAsia" w:ascii="宋体" w:hAnsi="宋体"/>
          <w:b/>
        </w:rPr>
        <w:t>如果我们提供的声明或承诺不真实，则完全同意认定为我司提供虚假材料，并同意作相应处理。</w:t>
      </w:r>
    </w:p>
    <w:p w14:paraId="4C85B8A0">
      <w:pPr>
        <w:numPr>
          <w:ilvl w:val="0"/>
          <w:numId w:val="21"/>
        </w:numPr>
        <w:autoSpaceDE/>
        <w:autoSpaceDN/>
        <w:adjustRightInd/>
        <w:snapToGrid w:val="0"/>
        <w:spacing w:line="360" w:lineRule="auto"/>
        <w:jc w:val="both"/>
        <w:rPr>
          <w:rFonts w:ascii="宋体" w:hAnsi="宋体"/>
          <w:b/>
        </w:rPr>
      </w:pPr>
      <w:r>
        <w:rPr>
          <w:rFonts w:hint="eastAsia" w:ascii="宋体" w:hAnsi="宋体"/>
          <w:b/>
        </w:rPr>
        <w:t>我们是依法注册的法人，在法律、财务及运作上完全独立于本项目采购人、用户单位（如有）和采购代理机构。</w:t>
      </w:r>
    </w:p>
    <w:p w14:paraId="3D38F590">
      <w:pPr>
        <w:numPr>
          <w:ilvl w:val="0"/>
          <w:numId w:val="21"/>
        </w:numPr>
        <w:autoSpaceDE/>
        <w:autoSpaceDN/>
        <w:snapToGrid w:val="0"/>
        <w:spacing w:line="360" w:lineRule="auto"/>
        <w:jc w:val="both"/>
        <w:rPr>
          <w:rFonts w:ascii="宋体" w:hAnsi="宋体"/>
          <w:b/>
        </w:rPr>
      </w:pPr>
      <w:r>
        <w:rPr>
          <w:rFonts w:hint="eastAsia" w:ascii="宋体" w:hAnsi="宋体"/>
          <w:b/>
        </w:rPr>
        <w:t>所有有关本次磋商的函电请寄：</w:t>
      </w:r>
      <w:r>
        <w:rPr>
          <w:rFonts w:hint="eastAsia" w:ascii="宋体" w:hAnsi="宋体"/>
          <w:b/>
          <w:u w:val="single"/>
        </w:rPr>
        <w:t xml:space="preserve">  （响应供应商地址）   </w:t>
      </w:r>
    </w:p>
    <w:p w14:paraId="64ACCA30">
      <w:pPr>
        <w:spacing w:line="360" w:lineRule="auto"/>
        <w:ind w:left="420" w:firstLine="6"/>
        <w:rPr>
          <w:rFonts w:ascii="宋体" w:hAnsi="宋体"/>
          <w:b/>
        </w:rPr>
      </w:pPr>
      <w:r>
        <w:rPr>
          <w:rFonts w:hint="eastAsia" w:ascii="宋体" w:hAnsi="宋体"/>
          <w:b/>
        </w:rPr>
        <w:t>备注：1、磋商函中承诺的磋商有效期应当不少于磋商文件中载明的磋商有效期，否则视为无效响应。</w:t>
      </w:r>
    </w:p>
    <w:p w14:paraId="03501CED">
      <w:pPr>
        <w:snapToGrid w:val="0"/>
        <w:spacing w:line="360" w:lineRule="auto"/>
        <w:ind w:firstLine="991" w:firstLineChars="470"/>
        <w:rPr>
          <w:rFonts w:ascii="宋体" w:hAnsi="宋体"/>
          <w:b/>
        </w:rPr>
      </w:pPr>
      <w:r>
        <w:rPr>
          <w:rFonts w:hint="eastAsia" w:ascii="宋体" w:hAnsi="宋体"/>
          <w:b/>
        </w:rPr>
        <w:t>2、除磋商有效期承诺的时间外，本磋商函内容不得擅自删改，否则视为无效响应。</w:t>
      </w:r>
    </w:p>
    <w:p w14:paraId="5EC960A4">
      <w:pPr>
        <w:spacing w:line="500" w:lineRule="exact"/>
        <w:rPr>
          <w:spacing w:val="4"/>
          <w:u w:val="single"/>
        </w:rPr>
      </w:pPr>
      <w:r>
        <w:rPr>
          <w:rFonts w:hint="eastAsia" w:ascii="宋体" w:hAnsi="宋体"/>
        </w:rPr>
        <w:t>响应供应商</w:t>
      </w:r>
      <w:r>
        <w:rPr>
          <w:rFonts w:hint="eastAsia"/>
          <w:spacing w:val="4"/>
        </w:rPr>
        <w:t>名称（</w:t>
      </w:r>
      <w:r>
        <w:rPr>
          <w:rFonts w:hint="eastAsia" w:ascii="宋体" w:hAnsi="宋体"/>
        </w:rPr>
        <w:t>单位盖</w:t>
      </w:r>
      <w:r>
        <w:rPr>
          <w:rFonts w:hint="eastAsia"/>
          <w:spacing w:val="4"/>
        </w:rPr>
        <w:t>公章）：</w:t>
      </w:r>
    </w:p>
    <w:p w14:paraId="27C26439">
      <w:pPr>
        <w:snapToGrid w:val="0"/>
        <w:spacing w:line="400" w:lineRule="exact"/>
        <w:rPr>
          <w:spacing w:val="4"/>
          <w:u w:val="single"/>
        </w:rPr>
      </w:pPr>
      <w:r>
        <w:rPr>
          <w:rFonts w:hint="eastAsia" w:ascii="宋体"/>
        </w:rPr>
        <w:t>法定代表人或</w:t>
      </w:r>
      <w:r>
        <w:rPr>
          <w:rFonts w:hint="eastAsia" w:ascii="宋体" w:hAnsi="宋体"/>
        </w:rPr>
        <w:t>响应供应商授权代表（签名或印盖）：</w:t>
      </w:r>
    </w:p>
    <w:p w14:paraId="78FC05DC">
      <w:pPr>
        <w:snapToGrid w:val="0"/>
        <w:spacing w:line="400" w:lineRule="exact"/>
        <w:rPr>
          <w:rFonts w:ascii="宋体"/>
        </w:rPr>
      </w:pPr>
      <w:r>
        <w:rPr>
          <w:rFonts w:hint="eastAsia"/>
          <w:spacing w:val="4"/>
        </w:rPr>
        <w:t>日期：</w:t>
      </w:r>
    </w:p>
    <w:p w14:paraId="0A9AF611">
      <w:pPr>
        <w:spacing w:line="440" w:lineRule="exact"/>
        <w:ind w:left="360"/>
        <w:rPr>
          <w:spacing w:val="4"/>
          <w:u w:val="single"/>
        </w:rPr>
      </w:pPr>
    </w:p>
    <w:p w14:paraId="5F6C756B">
      <w:pPr>
        <w:numPr>
          <w:ilvl w:val="0"/>
          <w:numId w:val="22"/>
        </w:numPr>
        <w:autoSpaceDE/>
        <w:autoSpaceDN/>
        <w:adjustRightInd/>
        <w:spacing w:line="440" w:lineRule="exact"/>
        <w:ind w:hanging="780"/>
        <w:jc w:val="both"/>
        <w:rPr>
          <w:rFonts w:ascii="黑体" w:eastAsia="黑体"/>
          <w:bCs/>
          <w:sz w:val="28"/>
        </w:rPr>
      </w:pPr>
      <w:r>
        <w:rPr>
          <w:rFonts w:ascii="黑体" w:eastAsia="黑体"/>
          <w:bCs/>
          <w:sz w:val="28"/>
        </w:rPr>
        <w:br w:type="page"/>
      </w:r>
    </w:p>
    <w:p w14:paraId="2EFCAC39">
      <w:pPr>
        <w:jc w:val="both"/>
        <w:rPr>
          <w:rFonts w:hint="eastAsia" w:ascii="黑体" w:hAnsi="黑体" w:eastAsia="黑体" w:cs="黑体"/>
          <w:sz w:val="32"/>
          <w:szCs w:val="32"/>
          <w:lang w:eastAsia="zh-CN"/>
        </w:rPr>
      </w:pPr>
      <w:bookmarkStart w:id="57" w:name="_Toc416770255"/>
      <w:bookmarkStart w:id="58" w:name="_Toc416771365"/>
      <w:bookmarkStart w:id="59" w:name="_Toc275865606"/>
      <w:bookmarkStart w:id="60" w:name="_Toc410738978"/>
      <w:bookmarkStart w:id="61" w:name="_Toc410736179"/>
    </w:p>
    <w:p w14:paraId="264799A5">
      <w:pPr>
        <w:autoSpaceDE/>
        <w:autoSpaceDN/>
        <w:adjustRightInd/>
        <w:jc w:val="center"/>
        <w:outlineLvl w:val="2"/>
        <w:rPr>
          <w:rFonts w:hint="eastAsia" w:ascii="仿宋_GB2312" w:eastAsia="仿宋_GB2312"/>
          <w:b/>
          <w:kern w:val="2"/>
          <w:sz w:val="28"/>
          <w:szCs w:val="28"/>
          <w:lang w:eastAsia="zh-CN"/>
        </w:rPr>
      </w:pPr>
      <w:r>
        <w:rPr>
          <w:rFonts w:hint="eastAsia" w:ascii="仿宋_GB2312" w:eastAsia="仿宋_GB2312"/>
          <w:b/>
          <w:kern w:val="2"/>
          <w:sz w:val="28"/>
          <w:szCs w:val="28"/>
          <w:lang w:eastAsia="zh-CN"/>
        </w:rPr>
        <w:t>汕头市政府采购供应商信用承诺函</w:t>
      </w:r>
    </w:p>
    <w:p w14:paraId="698E7CB9">
      <w:pPr>
        <w:rPr>
          <w:rFonts w:hint="eastAsia" w:ascii="仿宋_GB2312" w:hAnsi="仿宋_GB2312" w:eastAsia="仿宋_GB2312" w:cs="仿宋_GB2312"/>
          <w:sz w:val="32"/>
          <w:szCs w:val="32"/>
          <w:lang w:eastAsia="zh-CN"/>
        </w:rPr>
      </w:pPr>
    </w:p>
    <w:p w14:paraId="110B59F3">
      <w:pPr>
        <w:spacing w:line="360" w:lineRule="auto"/>
        <w:rPr>
          <w:rFonts w:hint="eastAsia" w:ascii="宋体" w:hAnsi="宋体" w:eastAsia="宋体" w:cs="宋体"/>
          <w:sz w:val="21"/>
          <w:szCs w:val="21"/>
          <w:lang w:eastAsia="zh-CN"/>
        </w:rPr>
      </w:pPr>
      <w:r>
        <w:rPr>
          <w:rFonts w:hint="eastAsia" w:ascii="宋体" w:hAnsi="宋体" w:eastAsia="宋体" w:cs="宋体"/>
          <w:sz w:val="21"/>
          <w:szCs w:val="21"/>
          <w:lang w:eastAsia="zh-CN"/>
        </w:rPr>
        <w:t>致：（采购人、采购代理机构）</w:t>
      </w:r>
    </w:p>
    <w:p w14:paraId="7BD1BBFF">
      <w:pPr>
        <w:spacing w:line="360" w:lineRule="auto"/>
        <w:ind w:firstLine="420" w:firstLineChars="200"/>
        <w:rPr>
          <w:rFonts w:hint="eastAsia" w:ascii="宋体" w:hAnsi="宋体" w:eastAsia="宋体" w:cs="宋体"/>
          <w:sz w:val="21"/>
          <w:szCs w:val="21"/>
          <w:lang w:eastAsia="zh-CN"/>
        </w:rPr>
      </w:pPr>
      <w:r>
        <w:rPr>
          <w:rFonts w:hint="eastAsia" w:ascii="宋体" w:hAnsi="宋体" w:eastAsia="宋体" w:cs="宋体"/>
          <w:sz w:val="21"/>
          <w:szCs w:val="21"/>
          <w:lang w:eastAsia="zh-CN"/>
        </w:rPr>
        <w:t>我单位参与</w:t>
      </w:r>
      <w:r>
        <w:rPr>
          <w:rFonts w:hint="eastAsia" w:ascii="宋体" w:hAnsi="宋体" w:eastAsia="宋体" w:cs="宋体"/>
          <w:sz w:val="21"/>
          <w:szCs w:val="21"/>
          <w:u w:val="single"/>
          <w:lang w:eastAsia="zh-CN"/>
        </w:rPr>
        <w:t>（项目名称）（项目编号：</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lang w:eastAsia="zh-CN"/>
        </w:rPr>
        <w:t>）</w:t>
      </w:r>
      <w:r>
        <w:rPr>
          <w:rFonts w:hint="eastAsia" w:ascii="宋体" w:hAnsi="宋体" w:eastAsia="宋体" w:cs="宋体"/>
          <w:sz w:val="21"/>
          <w:szCs w:val="21"/>
          <w:lang w:eastAsia="zh-CN"/>
        </w:rPr>
        <w:t>的政府采购活动，现承诺如下：</w:t>
      </w:r>
    </w:p>
    <w:p w14:paraId="05D476BC">
      <w:pPr>
        <w:spacing w:line="360" w:lineRule="auto"/>
        <w:ind w:firstLine="420" w:firstLineChars="200"/>
        <w:rPr>
          <w:rFonts w:hint="eastAsia" w:ascii="宋体" w:hAnsi="宋体" w:eastAsia="宋体" w:cs="宋体"/>
          <w:sz w:val="21"/>
          <w:szCs w:val="21"/>
          <w:lang w:eastAsia="zh-CN"/>
        </w:rPr>
      </w:pPr>
      <w:r>
        <w:rPr>
          <w:rFonts w:hint="eastAsia" w:ascii="宋体" w:hAnsi="宋体" w:eastAsia="宋体" w:cs="宋体"/>
          <w:sz w:val="21"/>
          <w:szCs w:val="21"/>
          <w:lang w:eastAsia="zh-CN"/>
        </w:rPr>
        <w:t>我单位具有符合《中华人民共和国政府采购法》《中华人民共和国政府采购法实施条例》及采购文件资格要求规定良好的商业信誉和健全的财务会计制度；依法缴纳税收和社会保障资金；参加本项目政府采购活动前三年内，在经营活动中没有重大违法记录。</w:t>
      </w:r>
    </w:p>
    <w:p w14:paraId="563A4931">
      <w:pPr>
        <w:spacing w:line="360" w:lineRule="auto"/>
        <w:ind w:firstLine="420" w:firstLineChars="200"/>
        <w:rPr>
          <w:rFonts w:hint="eastAsia" w:ascii="宋体" w:hAnsi="宋体" w:eastAsia="宋体" w:cs="宋体"/>
          <w:sz w:val="21"/>
          <w:szCs w:val="21"/>
          <w:lang w:eastAsia="zh-CN"/>
        </w:rPr>
      </w:pPr>
      <w:r>
        <w:rPr>
          <w:rFonts w:hint="eastAsia" w:ascii="宋体" w:hAnsi="宋体" w:eastAsia="宋体" w:cs="宋体"/>
          <w:sz w:val="21"/>
          <w:szCs w:val="21"/>
          <w:lang w:eastAsia="zh-CN"/>
        </w:rPr>
        <w:t>若我单位以上承诺不实，自愿承担提供虚假材料谋取中标、成交的法律责任。</w:t>
      </w:r>
    </w:p>
    <w:p w14:paraId="441E7169">
      <w:pPr>
        <w:spacing w:line="360" w:lineRule="auto"/>
        <w:ind w:firstLine="420" w:firstLineChars="200"/>
        <w:rPr>
          <w:rFonts w:hint="eastAsia" w:ascii="宋体" w:hAnsi="宋体" w:eastAsia="宋体" w:cs="宋体"/>
          <w:sz w:val="21"/>
          <w:szCs w:val="21"/>
          <w:lang w:eastAsia="zh-CN"/>
        </w:rPr>
      </w:pPr>
    </w:p>
    <w:p w14:paraId="656B6F05">
      <w:pPr>
        <w:spacing w:line="360" w:lineRule="auto"/>
        <w:ind w:firstLine="840" w:firstLineChars="400"/>
        <w:rPr>
          <w:rFonts w:hint="eastAsia" w:ascii="宋体" w:hAnsi="宋体" w:eastAsia="宋体" w:cs="宋体"/>
          <w:sz w:val="21"/>
          <w:szCs w:val="21"/>
          <w:lang w:eastAsia="zh-CN"/>
        </w:rPr>
      </w:pPr>
      <w:r>
        <w:rPr>
          <w:rFonts w:hint="eastAsia" w:ascii="宋体" w:hAnsi="宋体" w:eastAsia="宋体" w:cs="宋体"/>
          <w:sz w:val="21"/>
          <w:szCs w:val="21"/>
          <w:lang w:eastAsia="zh-CN"/>
        </w:rPr>
        <w:t>承诺供应商（全称并加盖公章）：</w:t>
      </w:r>
      <w:r>
        <w:rPr>
          <w:rFonts w:hint="eastAsia" w:ascii="宋体" w:hAnsi="宋体" w:eastAsia="宋体" w:cs="宋体"/>
          <w:sz w:val="21"/>
          <w:szCs w:val="21"/>
          <w:u w:val="single"/>
          <w:lang w:val="en-US" w:eastAsia="zh-CN"/>
        </w:rPr>
        <w:t xml:space="preserve">               </w:t>
      </w:r>
    </w:p>
    <w:p w14:paraId="14160A4C">
      <w:pPr>
        <w:spacing w:line="360" w:lineRule="auto"/>
        <w:ind w:firstLine="840" w:firstLineChars="400"/>
        <w:rPr>
          <w:rFonts w:hint="eastAsia" w:ascii="宋体" w:hAnsi="宋体" w:eastAsia="宋体" w:cs="宋体"/>
          <w:sz w:val="21"/>
          <w:szCs w:val="21"/>
          <w:u w:val="single"/>
          <w:lang w:val="en-US" w:eastAsia="zh-CN"/>
        </w:rPr>
      </w:pPr>
      <w:r>
        <w:rPr>
          <w:rFonts w:hint="eastAsia" w:ascii="宋体" w:hAnsi="宋体" w:eastAsia="宋体" w:cs="宋体"/>
          <w:sz w:val="21"/>
          <w:szCs w:val="21"/>
          <w:lang w:eastAsia="zh-CN"/>
        </w:rPr>
        <w:t>单位责任人或授权代表人：（签字）：</w:t>
      </w:r>
      <w:r>
        <w:rPr>
          <w:rFonts w:hint="eastAsia" w:ascii="宋体" w:hAnsi="宋体" w:eastAsia="宋体" w:cs="宋体"/>
          <w:sz w:val="21"/>
          <w:szCs w:val="21"/>
          <w:u w:val="single"/>
          <w:lang w:val="en-US" w:eastAsia="zh-CN"/>
        </w:rPr>
        <w:t xml:space="preserve">            </w:t>
      </w:r>
    </w:p>
    <w:p w14:paraId="54E5BF77">
      <w:pPr>
        <w:spacing w:line="360" w:lineRule="auto"/>
        <w:ind w:firstLine="840" w:firstLineChars="400"/>
        <w:rPr>
          <w:rFonts w:hint="eastAsia" w:ascii="宋体" w:hAnsi="宋体" w:eastAsia="宋体" w:cs="宋体"/>
          <w:sz w:val="21"/>
          <w:szCs w:val="21"/>
          <w:u w:val="single"/>
          <w:lang w:val="en-US" w:eastAsia="zh-CN"/>
        </w:rPr>
      </w:pPr>
      <w:r>
        <w:rPr>
          <w:rFonts w:hint="eastAsia" w:ascii="宋体" w:hAnsi="宋体" w:eastAsia="宋体" w:cs="宋体"/>
          <w:sz w:val="21"/>
          <w:szCs w:val="21"/>
          <w:lang w:eastAsia="zh-CN"/>
        </w:rPr>
        <w:t>日期：</w:t>
      </w:r>
      <w:r>
        <w:rPr>
          <w:rFonts w:hint="eastAsia" w:ascii="宋体" w:hAnsi="宋体" w:eastAsia="宋体" w:cs="宋体"/>
          <w:sz w:val="21"/>
          <w:szCs w:val="21"/>
          <w:u w:val="single"/>
          <w:lang w:val="en-US" w:eastAsia="zh-CN"/>
        </w:rPr>
        <w:t xml:space="preserve">                                      </w:t>
      </w:r>
    </w:p>
    <w:p w14:paraId="02864233">
      <w:pPr>
        <w:spacing w:line="360" w:lineRule="auto"/>
        <w:rPr>
          <w:rFonts w:hint="eastAsia" w:ascii="宋体" w:hAnsi="宋体" w:eastAsia="宋体" w:cs="宋体"/>
          <w:sz w:val="21"/>
          <w:szCs w:val="21"/>
          <w:u w:val="none"/>
          <w:lang w:val="en-US" w:eastAsia="zh-CN"/>
        </w:rPr>
      </w:pPr>
    </w:p>
    <w:p w14:paraId="34E316AB">
      <w:pPr>
        <w:autoSpaceDE/>
        <w:autoSpaceDN/>
        <w:adjustRightInd/>
        <w:spacing w:line="360" w:lineRule="auto"/>
        <w:jc w:val="center"/>
        <w:outlineLvl w:val="2"/>
        <w:rPr>
          <w:rFonts w:hint="eastAsia" w:ascii="宋体" w:hAnsi="宋体" w:eastAsia="宋体" w:cs="宋体"/>
          <w:sz w:val="21"/>
          <w:szCs w:val="21"/>
          <w:lang w:eastAsia="zh-CN"/>
        </w:rPr>
      </w:pPr>
      <w:r>
        <w:rPr>
          <w:rFonts w:hint="eastAsia" w:ascii="宋体" w:hAnsi="宋体" w:eastAsia="宋体" w:cs="宋体"/>
          <w:sz w:val="21"/>
          <w:szCs w:val="21"/>
          <w:u w:val="none"/>
          <w:lang w:val="en-US" w:eastAsia="zh-CN"/>
        </w:rPr>
        <w:t>说明：供应商可自行选择是否提供本承诺函，若不提供本承诺函，应按</w:t>
      </w:r>
      <w:r>
        <w:rPr>
          <w:rFonts w:hint="eastAsia" w:ascii="宋体" w:hAnsi="宋体" w:eastAsia="宋体" w:cs="宋体"/>
          <w:sz w:val="21"/>
          <w:szCs w:val="21"/>
          <w:lang w:eastAsia="zh-CN"/>
        </w:rPr>
        <w:t>《中华人民共和国政府采购法》《中华人民共和国政府采购法实施条例》及采购文件资格要求提供相应的证明材料。</w:t>
      </w:r>
    </w:p>
    <w:p w14:paraId="36F1FD6D">
      <w:pPr>
        <w:autoSpaceDE/>
        <w:autoSpaceDN/>
        <w:adjustRightInd/>
        <w:spacing w:line="360" w:lineRule="auto"/>
        <w:jc w:val="center"/>
        <w:outlineLvl w:val="2"/>
        <w:rPr>
          <w:rFonts w:hint="eastAsia" w:ascii="宋体" w:hAnsi="宋体" w:eastAsia="宋体" w:cs="宋体"/>
          <w:sz w:val="21"/>
          <w:szCs w:val="21"/>
          <w:lang w:eastAsia="zh-CN"/>
        </w:rPr>
      </w:pPr>
    </w:p>
    <w:p w14:paraId="6225182D">
      <w:pPr>
        <w:autoSpaceDE/>
        <w:autoSpaceDN/>
        <w:adjustRightInd/>
        <w:jc w:val="center"/>
        <w:outlineLvl w:val="2"/>
        <w:rPr>
          <w:rFonts w:hint="eastAsia" w:ascii="仿宋_GB2312" w:hAnsi="仿宋_GB2312" w:eastAsia="仿宋_GB2312" w:cs="仿宋_GB2312"/>
          <w:sz w:val="32"/>
          <w:szCs w:val="32"/>
          <w:lang w:eastAsia="zh-CN"/>
        </w:rPr>
      </w:pPr>
    </w:p>
    <w:p w14:paraId="41AB5FF2">
      <w:pPr>
        <w:autoSpaceDE/>
        <w:autoSpaceDN/>
        <w:adjustRightInd/>
        <w:jc w:val="center"/>
        <w:outlineLvl w:val="2"/>
        <w:rPr>
          <w:rFonts w:hint="eastAsia" w:ascii="仿宋_GB2312" w:hAnsi="仿宋_GB2312" w:eastAsia="仿宋_GB2312" w:cs="仿宋_GB2312"/>
          <w:sz w:val="32"/>
          <w:szCs w:val="32"/>
          <w:lang w:eastAsia="zh-CN"/>
        </w:rPr>
      </w:pPr>
    </w:p>
    <w:p w14:paraId="76A28F3A">
      <w:pPr>
        <w:autoSpaceDE/>
        <w:autoSpaceDN/>
        <w:adjustRightInd/>
        <w:jc w:val="center"/>
        <w:outlineLvl w:val="2"/>
        <w:rPr>
          <w:rFonts w:hint="eastAsia" w:ascii="仿宋_GB2312" w:hAnsi="仿宋_GB2312" w:eastAsia="仿宋_GB2312" w:cs="仿宋_GB2312"/>
          <w:sz w:val="32"/>
          <w:szCs w:val="32"/>
          <w:lang w:eastAsia="zh-CN"/>
        </w:rPr>
      </w:pPr>
    </w:p>
    <w:p w14:paraId="615FA942">
      <w:pPr>
        <w:autoSpaceDE/>
        <w:autoSpaceDN/>
        <w:adjustRightInd/>
        <w:jc w:val="center"/>
        <w:outlineLvl w:val="2"/>
        <w:rPr>
          <w:rFonts w:hint="eastAsia" w:ascii="仿宋_GB2312" w:hAnsi="仿宋_GB2312" w:eastAsia="仿宋_GB2312" w:cs="仿宋_GB2312"/>
          <w:sz w:val="32"/>
          <w:szCs w:val="32"/>
          <w:lang w:eastAsia="zh-CN"/>
        </w:rPr>
      </w:pPr>
    </w:p>
    <w:p w14:paraId="14FAEDF7">
      <w:pPr>
        <w:autoSpaceDE/>
        <w:autoSpaceDN/>
        <w:adjustRightInd/>
        <w:jc w:val="center"/>
        <w:outlineLvl w:val="2"/>
        <w:rPr>
          <w:rFonts w:hint="eastAsia" w:ascii="仿宋_GB2312" w:hAnsi="仿宋_GB2312" w:eastAsia="仿宋_GB2312" w:cs="仿宋_GB2312"/>
          <w:sz w:val="32"/>
          <w:szCs w:val="32"/>
          <w:lang w:eastAsia="zh-CN"/>
        </w:rPr>
      </w:pPr>
    </w:p>
    <w:p w14:paraId="63430754">
      <w:pPr>
        <w:autoSpaceDE/>
        <w:autoSpaceDN/>
        <w:adjustRightInd/>
        <w:jc w:val="center"/>
        <w:outlineLvl w:val="2"/>
        <w:rPr>
          <w:rFonts w:hint="eastAsia" w:ascii="仿宋_GB2312" w:hAnsi="仿宋_GB2312" w:eastAsia="仿宋_GB2312" w:cs="仿宋_GB2312"/>
          <w:sz w:val="32"/>
          <w:szCs w:val="32"/>
          <w:lang w:eastAsia="zh-CN"/>
        </w:rPr>
      </w:pPr>
    </w:p>
    <w:p w14:paraId="7164E91C">
      <w:pPr>
        <w:autoSpaceDE/>
        <w:autoSpaceDN/>
        <w:adjustRightInd/>
        <w:jc w:val="center"/>
        <w:outlineLvl w:val="2"/>
        <w:rPr>
          <w:rFonts w:hint="eastAsia" w:ascii="仿宋_GB2312" w:hAnsi="仿宋_GB2312" w:eastAsia="仿宋_GB2312" w:cs="仿宋_GB2312"/>
          <w:sz w:val="32"/>
          <w:szCs w:val="32"/>
          <w:lang w:eastAsia="zh-CN"/>
        </w:rPr>
      </w:pPr>
    </w:p>
    <w:p w14:paraId="12B22231">
      <w:pPr>
        <w:autoSpaceDE/>
        <w:autoSpaceDN/>
        <w:adjustRightInd/>
        <w:jc w:val="center"/>
        <w:outlineLvl w:val="2"/>
        <w:rPr>
          <w:rFonts w:hint="eastAsia" w:ascii="仿宋_GB2312" w:hAnsi="仿宋_GB2312" w:eastAsia="仿宋_GB2312" w:cs="仿宋_GB2312"/>
          <w:sz w:val="32"/>
          <w:szCs w:val="32"/>
          <w:lang w:eastAsia="zh-CN"/>
        </w:rPr>
      </w:pPr>
    </w:p>
    <w:p w14:paraId="569BCE8A">
      <w:pPr>
        <w:autoSpaceDE/>
        <w:autoSpaceDN/>
        <w:adjustRightInd/>
        <w:jc w:val="center"/>
        <w:outlineLvl w:val="2"/>
        <w:rPr>
          <w:rFonts w:hint="eastAsia" w:ascii="仿宋_GB2312" w:hAnsi="仿宋_GB2312" w:eastAsia="仿宋_GB2312" w:cs="仿宋_GB2312"/>
          <w:sz w:val="32"/>
          <w:szCs w:val="32"/>
          <w:lang w:eastAsia="zh-CN"/>
        </w:rPr>
      </w:pPr>
    </w:p>
    <w:p w14:paraId="3B25324A">
      <w:pPr>
        <w:autoSpaceDE/>
        <w:autoSpaceDN/>
        <w:adjustRightInd/>
        <w:jc w:val="center"/>
        <w:outlineLvl w:val="2"/>
        <w:rPr>
          <w:rFonts w:hint="eastAsia" w:ascii="仿宋_GB2312" w:hAnsi="仿宋_GB2312" w:eastAsia="仿宋_GB2312" w:cs="仿宋_GB2312"/>
          <w:sz w:val="32"/>
          <w:szCs w:val="32"/>
          <w:lang w:eastAsia="zh-CN"/>
        </w:rPr>
      </w:pPr>
    </w:p>
    <w:p w14:paraId="4EBDCB6D">
      <w:pPr>
        <w:autoSpaceDE/>
        <w:autoSpaceDN/>
        <w:adjustRightInd/>
        <w:jc w:val="center"/>
        <w:outlineLvl w:val="2"/>
        <w:rPr>
          <w:rFonts w:hint="eastAsia" w:ascii="仿宋_GB2312" w:hAnsi="仿宋_GB2312" w:eastAsia="仿宋_GB2312" w:cs="仿宋_GB2312"/>
          <w:sz w:val="32"/>
          <w:szCs w:val="32"/>
          <w:lang w:eastAsia="zh-CN"/>
        </w:rPr>
      </w:pPr>
    </w:p>
    <w:p w14:paraId="2D3AF909">
      <w:pPr>
        <w:autoSpaceDE/>
        <w:autoSpaceDN/>
        <w:adjustRightInd/>
        <w:jc w:val="center"/>
        <w:outlineLvl w:val="2"/>
        <w:rPr>
          <w:rFonts w:hint="eastAsia" w:ascii="仿宋_GB2312" w:hAnsi="仿宋_GB2312" w:eastAsia="仿宋_GB2312" w:cs="仿宋_GB2312"/>
          <w:sz w:val="32"/>
          <w:szCs w:val="32"/>
          <w:lang w:eastAsia="zh-CN"/>
        </w:rPr>
      </w:pPr>
    </w:p>
    <w:p w14:paraId="0A0B63BB">
      <w:pPr>
        <w:pStyle w:val="17"/>
        <w:rPr>
          <w:rFonts w:hint="eastAsia" w:ascii="仿宋_GB2312" w:hAnsi="仿宋_GB2312" w:eastAsia="仿宋_GB2312" w:cs="仿宋_GB2312"/>
          <w:sz w:val="32"/>
          <w:szCs w:val="32"/>
          <w:lang w:eastAsia="zh-CN"/>
        </w:rPr>
      </w:pPr>
    </w:p>
    <w:p w14:paraId="688361BD">
      <w:pPr>
        <w:pStyle w:val="17"/>
        <w:rPr>
          <w:rFonts w:hint="eastAsia" w:ascii="仿宋_GB2312" w:hAnsi="仿宋_GB2312" w:eastAsia="仿宋_GB2312" w:cs="仿宋_GB2312"/>
          <w:sz w:val="32"/>
          <w:szCs w:val="32"/>
          <w:lang w:eastAsia="zh-CN"/>
        </w:rPr>
      </w:pPr>
    </w:p>
    <w:p w14:paraId="7E5B1053">
      <w:pPr>
        <w:pStyle w:val="17"/>
        <w:rPr>
          <w:rFonts w:hint="eastAsia" w:ascii="仿宋_GB2312" w:hAnsi="仿宋_GB2312" w:eastAsia="仿宋_GB2312" w:cs="仿宋_GB2312"/>
          <w:sz w:val="32"/>
          <w:szCs w:val="32"/>
          <w:lang w:eastAsia="zh-CN"/>
        </w:rPr>
      </w:pPr>
    </w:p>
    <w:p w14:paraId="23255004">
      <w:pPr>
        <w:pStyle w:val="17"/>
        <w:rPr>
          <w:rFonts w:hint="eastAsia" w:ascii="仿宋_GB2312" w:hAnsi="仿宋_GB2312" w:eastAsia="仿宋_GB2312" w:cs="仿宋_GB2312"/>
          <w:sz w:val="32"/>
          <w:szCs w:val="32"/>
          <w:lang w:eastAsia="zh-CN"/>
        </w:rPr>
      </w:pPr>
    </w:p>
    <w:p w14:paraId="4733A747">
      <w:pPr>
        <w:autoSpaceDE/>
        <w:autoSpaceDN/>
        <w:adjustRightInd/>
        <w:jc w:val="center"/>
        <w:outlineLvl w:val="2"/>
        <w:rPr>
          <w:rFonts w:hint="eastAsia" w:ascii="仿宋_GB2312" w:hAnsi="仿宋_GB2312" w:eastAsia="仿宋_GB2312" w:cs="仿宋_GB2312"/>
          <w:sz w:val="32"/>
          <w:szCs w:val="32"/>
          <w:lang w:eastAsia="zh-CN"/>
        </w:rPr>
      </w:pPr>
    </w:p>
    <w:p w14:paraId="4E1E6EFA">
      <w:pPr>
        <w:autoSpaceDE/>
        <w:autoSpaceDN/>
        <w:adjustRightInd/>
        <w:jc w:val="center"/>
        <w:outlineLvl w:val="2"/>
        <w:rPr>
          <w:rFonts w:hint="eastAsia" w:ascii="仿宋_GB2312" w:eastAsia="仿宋_GB2312"/>
          <w:b/>
          <w:kern w:val="2"/>
          <w:sz w:val="28"/>
          <w:szCs w:val="28"/>
        </w:rPr>
      </w:pPr>
    </w:p>
    <w:p w14:paraId="377545E7">
      <w:pPr>
        <w:autoSpaceDE/>
        <w:autoSpaceDN/>
        <w:adjustRightInd/>
        <w:jc w:val="center"/>
        <w:outlineLvl w:val="2"/>
        <w:rPr>
          <w:rFonts w:ascii="仿宋_GB2312" w:eastAsia="仿宋_GB2312"/>
          <w:b/>
          <w:kern w:val="2"/>
          <w:sz w:val="28"/>
          <w:szCs w:val="28"/>
        </w:rPr>
      </w:pPr>
      <w:r>
        <w:rPr>
          <w:rFonts w:hint="eastAsia" w:ascii="仿宋_GB2312" w:eastAsia="仿宋_GB2312"/>
          <w:b/>
          <w:kern w:val="2"/>
          <w:sz w:val="28"/>
          <w:szCs w:val="28"/>
        </w:rPr>
        <w:t>响应供应商资格声明函</w:t>
      </w:r>
      <w:bookmarkEnd w:id="57"/>
      <w:bookmarkEnd w:id="58"/>
      <w:bookmarkEnd w:id="59"/>
      <w:bookmarkEnd w:id="60"/>
      <w:bookmarkEnd w:id="61"/>
    </w:p>
    <w:p w14:paraId="0F89F25D">
      <w:pPr>
        <w:snapToGrid w:val="0"/>
        <w:spacing w:beforeLines="50" w:afterLines="50" w:line="360" w:lineRule="auto"/>
        <w:rPr>
          <w:rFonts w:ascii="宋体" w:hAnsi="宋体"/>
          <w:b/>
        </w:rPr>
      </w:pPr>
      <w:r>
        <w:rPr>
          <w:rFonts w:hint="eastAsia" w:ascii="宋体" w:hAnsi="宋体"/>
          <w:b/>
        </w:rPr>
        <w:t>广东群升招标代理有限公司汕头分公司：</w:t>
      </w:r>
    </w:p>
    <w:p w14:paraId="10D512FD">
      <w:pPr>
        <w:snapToGrid w:val="0"/>
        <w:spacing w:line="360" w:lineRule="auto"/>
        <w:ind w:firstLine="420" w:firstLineChars="200"/>
        <w:rPr>
          <w:rFonts w:ascii="宋体" w:hAnsi="宋体"/>
        </w:rPr>
      </w:pPr>
      <w:r>
        <w:rPr>
          <w:rFonts w:hint="eastAsia" w:ascii="宋体" w:hAnsi="宋体"/>
        </w:rPr>
        <w:t>关于贵公司</w:t>
      </w:r>
      <w:r>
        <w:rPr>
          <w:rFonts w:hint="eastAsia" w:ascii="宋体" w:hAnsi="宋体"/>
          <w:u w:val="single"/>
        </w:rPr>
        <w:t>　　</w:t>
      </w:r>
      <w:r>
        <w:rPr>
          <w:rFonts w:hint="eastAsia" w:ascii="宋体" w:hAnsi="宋体"/>
        </w:rPr>
        <w:t>年</w:t>
      </w:r>
      <w:r>
        <w:rPr>
          <w:rFonts w:hint="eastAsia" w:ascii="宋体" w:hAnsi="宋体"/>
          <w:u w:val="single"/>
        </w:rPr>
        <w:t>　　</w:t>
      </w:r>
      <w:r>
        <w:rPr>
          <w:rFonts w:hint="eastAsia" w:ascii="宋体" w:hAnsi="宋体"/>
        </w:rPr>
        <w:t>月</w:t>
      </w:r>
      <w:r>
        <w:rPr>
          <w:rFonts w:hint="eastAsia" w:ascii="宋体" w:hAnsi="宋体"/>
          <w:u w:val="single"/>
        </w:rPr>
        <w:t>　　</w:t>
      </w:r>
      <w:r>
        <w:rPr>
          <w:rFonts w:hint="eastAsia" w:ascii="宋体" w:hAnsi="宋体"/>
        </w:rPr>
        <w:t>日发布</w:t>
      </w:r>
      <w:r>
        <w:rPr>
          <w:rFonts w:hint="eastAsia" w:ascii="宋体" w:hAnsi="宋体"/>
          <w:lang w:val="en-US" w:eastAsia="zh-CN"/>
        </w:rPr>
        <w:t xml:space="preserve"> </w:t>
      </w:r>
      <w:r>
        <w:rPr>
          <w:rFonts w:hint="eastAsia" w:ascii="宋体" w:hAnsi="宋体"/>
          <w:u w:val="single"/>
          <w:lang w:eastAsia="zh-CN"/>
        </w:rPr>
        <w:t>南澳县博物馆消防维护修理及监控设备合并扩容项目</w:t>
      </w:r>
      <w:r>
        <w:rPr>
          <w:rFonts w:hint="eastAsia" w:ascii="宋体" w:hAnsi="宋体"/>
          <w:u w:val="single"/>
          <w:lang w:val="en-US" w:eastAsia="zh-CN"/>
        </w:rPr>
        <w:t xml:space="preserve">  </w:t>
      </w:r>
      <w:r>
        <w:rPr>
          <w:rFonts w:hint="eastAsia" w:ascii="宋体" w:hAnsi="宋体"/>
        </w:rPr>
        <w:t>（项目编号：</w:t>
      </w:r>
      <w:r>
        <w:rPr>
          <w:rFonts w:hint="eastAsia" w:ascii="宋体" w:hAnsi="宋体"/>
          <w:lang w:eastAsia="zh-CN"/>
        </w:rPr>
        <w:t>GDQSST2024JC12002S</w:t>
      </w:r>
      <w:r>
        <w:rPr>
          <w:rFonts w:hint="eastAsia" w:ascii="宋体" w:hAnsi="宋体"/>
        </w:rPr>
        <w:t>）的磋商公告，本公司（企业）愿意参加磋商，并声明：</w:t>
      </w:r>
    </w:p>
    <w:p w14:paraId="3B56B7CA">
      <w:pPr>
        <w:snapToGrid w:val="0"/>
        <w:spacing w:line="360" w:lineRule="auto"/>
        <w:ind w:firstLine="424" w:firstLineChars="202"/>
        <w:rPr>
          <w:rFonts w:ascii="宋体" w:hAnsi="宋体"/>
          <w:bCs/>
        </w:rPr>
      </w:pPr>
      <w:r>
        <w:rPr>
          <w:rFonts w:hint="eastAsia" w:ascii="宋体" w:hAnsi="宋体"/>
        </w:rPr>
        <w:t>一、本公司（企业）具备</w:t>
      </w:r>
      <w:r>
        <w:rPr>
          <w:rFonts w:hint="eastAsia" w:ascii="宋体" w:hAnsi="宋体"/>
          <w:bCs/>
        </w:rPr>
        <w:t>《中华人民共和国政府采购法》第二十二条资格条件：</w:t>
      </w:r>
    </w:p>
    <w:p w14:paraId="7AD36D8B">
      <w:pPr>
        <w:widowControl/>
        <w:spacing w:line="360" w:lineRule="auto"/>
        <w:ind w:firstLine="360"/>
        <w:rPr>
          <w:rFonts w:ascii="宋体" w:hAnsi="宋体" w:cs="宋体"/>
        </w:rPr>
      </w:pPr>
      <w:r>
        <w:rPr>
          <w:rFonts w:hint="eastAsia" w:ascii="宋体" w:hAnsi="宋体" w:cs="宋体"/>
        </w:rPr>
        <w:t>（一）具有独立承担民事责任的能力；</w:t>
      </w:r>
    </w:p>
    <w:p w14:paraId="07782CA7">
      <w:pPr>
        <w:widowControl/>
        <w:spacing w:line="360" w:lineRule="auto"/>
        <w:ind w:firstLine="360"/>
        <w:rPr>
          <w:rFonts w:ascii="宋体" w:hAnsi="宋体" w:cs="宋体"/>
        </w:rPr>
      </w:pPr>
      <w:r>
        <w:rPr>
          <w:rFonts w:hint="eastAsia" w:ascii="宋体" w:hAnsi="宋体" w:cs="宋体"/>
        </w:rPr>
        <w:t>（二）具有良好的商业信誉和健全的财务会计制度；</w:t>
      </w:r>
    </w:p>
    <w:p w14:paraId="6AD3BA22">
      <w:pPr>
        <w:widowControl/>
        <w:spacing w:line="360" w:lineRule="auto"/>
        <w:ind w:firstLine="360"/>
        <w:rPr>
          <w:rFonts w:ascii="宋体" w:hAnsi="宋体" w:cs="宋体"/>
          <w:b/>
        </w:rPr>
      </w:pPr>
      <w:r>
        <w:rPr>
          <w:rFonts w:hint="eastAsia" w:ascii="宋体" w:hAnsi="宋体" w:cs="宋体"/>
        </w:rPr>
        <w:t>（三）具有履行合同所必需的设备和专业技术能力；</w:t>
      </w:r>
    </w:p>
    <w:p w14:paraId="2FB33F44">
      <w:pPr>
        <w:widowControl/>
        <w:spacing w:line="360" w:lineRule="auto"/>
        <w:ind w:firstLine="360"/>
        <w:rPr>
          <w:rFonts w:ascii="宋体" w:hAnsi="宋体" w:cs="宋体"/>
        </w:rPr>
      </w:pPr>
      <w:r>
        <w:rPr>
          <w:rFonts w:hint="eastAsia" w:ascii="宋体" w:hAnsi="宋体" w:cs="宋体"/>
        </w:rPr>
        <w:t>（四）有依法缴纳税收和社会保障资金的良好记录；</w:t>
      </w:r>
    </w:p>
    <w:p w14:paraId="0466EBC4">
      <w:pPr>
        <w:widowControl/>
        <w:spacing w:line="360" w:lineRule="auto"/>
        <w:ind w:firstLine="360"/>
        <w:rPr>
          <w:rFonts w:ascii="宋体" w:hAnsi="宋体" w:cs="宋体"/>
        </w:rPr>
      </w:pPr>
      <w:r>
        <w:rPr>
          <w:rFonts w:hint="eastAsia" w:ascii="宋体" w:hAnsi="宋体" w:cs="宋体"/>
        </w:rPr>
        <w:t>（五）参加政府采购活动前三年内，在经营活动中没有重大违法记录；</w:t>
      </w:r>
    </w:p>
    <w:p w14:paraId="315E9CFB">
      <w:pPr>
        <w:snapToGrid w:val="0"/>
        <w:spacing w:line="360" w:lineRule="auto"/>
        <w:ind w:firstLine="424" w:firstLineChars="202"/>
        <w:rPr>
          <w:rFonts w:ascii="宋体" w:hAnsi="宋体"/>
        </w:rPr>
      </w:pPr>
      <w:r>
        <w:rPr>
          <w:rFonts w:hint="eastAsia" w:ascii="宋体" w:hAnsi="宋体" w:cs="宋体"/>
        </w:rPr>
        <w:t>（六）法律、行政法规规定的其他条件。</w:t>
      </w:r>
    </w:p>
    <w:p w14:paraId="6F431BBA">
      <w:pPr>
        <w:pStyle w:val="20"/>
        <w:numPr>
          <w:ilvl w:val="0"/>
          <w:numId w:val="23"/>
        </w:numPr>
        <w:tabs>
          <w:tab w:val="left" w:pos="993"/>
        </w:tabs>
        <w:snapToGrid w:val="0"/>
        <w:spacing w:line="360" w:lineRule="auto"/>
        <w:ind w:firstLineChars="0"/>
        <w:rPr>
          <w:rFonts w:ascii="宋体" w:hAnsi="宋体" w:eastAsia="宋体"/>
          <w:bCs w:val="0"/>
          <w:sz w:val="21"/>
          <w:szCs w:val="21"/>
        </w:rPr>
      </w:pPr>
      <w:r>
        <w:rPr>
          <w:rFonts w:hint="eastAsia" w:ascii="宋体" w:hAnsi="宋体" w:eastAsia="宋体"/>
          <w:sz w:val="21"/>
          <w:szCs w:val="21"/>
        </w:rPr>
        <w:t>根据《中华人民共和国政府采购法实施条例》的规定，本公司（企业）如为采购项目提供整体设计、规范编制或者项目管理、监理、检测等服务的供应商，不再参加该采购项目的其他采购活动。否则，由此所造成的损失、不良后果及法律责任，一律由我公司（企业）承担。</w:t>
      </w:r>
    </w:p>
    <w:p w14:paraId="5F595708">
      <w:pPr>
        <w:pStyle w:val="20"/>
        <w:numPr>
          <w:ilvl w:val="0"/>
          <w:numId w:val="23"/>
        </w:numPr>
        <w:tabs>
          <w:tab w:val="left" w:pos="993"/>
        </w:tabs>
        <w:snapToGrid w:val="0"/>
        <w:spacing w:line="360" w:lineRule="auto"/>
        <w:ind w:firstLineChars="0"/>
        <w:rPr>
          <w:rFonts w:ascii="宋体" w:hAnsi="宋体" w:eastAsia="宋体"/>
          <w:sz w:val="21"/>
          <w:szCs w:val="21"/>
        </w:rPr>
      </w:pPr>
      <w:r>
        <w:rPr>
          <w:rFonts w:hint="eastAsia" w:ascii="宋体" w:hAnsi="宋体" w:eastAsia="宋体"/>
          <w:sz w:val="21"/>
          <w:szCs w:val="21"/>
        </w:rPr>
        <w:t>我方承诺单位负责人为同一人或者存在直接控股、管理关系的不同供应商，不得同时参加本采购项目投标。</w:t>
      </w:r>
    </w:p>
    <w:p w14:paraId="6DFC3138">
      <w:pPr>
        <w:snapToGrid w:val="0"/>
        <w:spacing w:line="360" w:lineRule="auto"/>
        <w:ind w:firstLine="424" w:firstLineChars="202"/>
        <w:rPr>
          <w:rFonts w:ascii="宋体" w:hAnsi="宋体"/>
        </w:rPr>
      </w:pPr>
      <w:r>
        <w:rPr>
          <w:rFonts w:hint="eastAsia" w:ascii="宋体" w:hAnsi="宋体"/>
        </w:rPr>
        <w:t>以上内容如有虚假或与事实不符的，可将我方做无效投标处理，我方愿意承担相应的法律责任。</w:t>
      </w:r>
    </w:p>
    <w:p w14:paraId="52E943E3">
      <w:pPr>
        <w:snapToGrid w:val="0"/>
        <w:spacing w:line="360" w:lineRule="auto"/>
        <w:ind w:firstLine="424" w:firstLineChars="202"/>
        <w:rPr>
          <w:rFonts w:ascii="宋体" w:hAnsi="宋体"/>
        </w:rPr>
      </w:pPr>
      <w:r>
        <w:rPr>
          <w:rFonts w:hint="eastAsia" w:ascii="宋体" w:hAnsi="宋体"/>
        </w:rPr>
        <w:t>在本次招标采购活动中，如有违法、违规、弄虚作假行为，所造成的损失、不良后果及法律责任，一律由我公司（企业）承担。</w:t>
      </w:r>
    </w:p>
    <w:p w14:paraId="68D3F918">
      <w:pPr>
        <w:spacing w:line="360" w:lineRule="auto"/>
        <w:ind w:firstLine="420"/>
      </w:pPr>
    </w:p>
    <w:p w14:paraId="14A595D6">
      <w:pPr>
        <w:spacing w:line="360" w:lineRule="auto"/>
        <w:ind w:firstLine="420"/>
      </w:pPr>
      <w:r>
        <w:rPr>
          <w:rFonts w:hint="eastAsia"/>
        </w:rPr>
        <w:t>特此声明！</w:t>
      </w:r>
    </w:p>
    <w:p w14:paraId="526B8F7C">
      <w:pPr>
        <w:spacing w:line="360" w:lineRule="auto"/>
      </w:pPr>
      <w:r>
        <w:rPr>
          <w:rFonts w:hint="eastAsia" w:ascii="宋体" w:hAnsi="宋体"/>
          <w:b/>
        </w:rPr>
        <w:t>备注：1.本声明函必须提供且内容不得擅自删改，否则视为无效响应。</w:t>
      </w:r>
    </w:p>
    <w:p w14:paraId="7FF5FCC8">
      <w:pPr>
        <w:snapToGrid w:val="0"/>
        <w:spacing w:line="440" w:lineRule="exact"/>
        <w:ind w:firstLine="420"/>
        <w:rPr>
          <w:rFonts w:ascii="宋体" w:hAnsi="宋体"/>
        </w:rPr>
      </w:pPr>
    </w:p>
    <w:p w14:paraId="53AE1030">
      <w:pPr>
        <w:spacing w:line="440" w:lineRule="exact"/>
        <w:rPr>
          <w:spacing w:val="4"/>
          <w:u w:val="single"/>
        </w:rPr>
      </w:pPr>
      <w:r>
        <w:rPr>
          <w:rFonts w:hint="eastAsia"/>
          <w:spacing w:val="4"/>
        </w:rPr>
        <w:t>响应供应商名称（单位盖公章）：</w:t>
      </w:r>
    </w:p>
    <w:p w14:paraId="4D945A2E">
      <w:pPr>
        <w:spacing w:line="440" w:lineRule="exact"/>
        <w:rPr>
          <w:spacing w:val="4"/>
          <w:u w:val="single"/>
        </w:rPr>
      </w:pPr>
      <w:r>
        <w:rPr>
          <w:rFonts w:hint="eastAsia"/>
          <w:spacing w:val="4"/>
        </w:rPr>
        <w:t>法定代表人或</w:t>
      </w:r>
      <w:r>
        <w:rPr>
          <w:rFonts w:hint="eastAsia" w:ascii="宋体" w:hAnsi="宋体"/>
        </w:rPr>
        <w:t>响应供应商</w:t>
      </w:r>
      <w:r>
        <w:rPr>
          <w:rFonts w:hint="eastAsia"/>
          <w:spacing w:val="4"/>
        </w:rPr>
        <w:t>授权代表（签署本人姓名或印盖本人姓名章）：</w:t>
      </w:r>
    </w:p>
    <w:p w14:paraId="0C971463">
      <w:pPr>
        <w:spacing w:line="440" w:lineRule="exact"/>
        <w:rPr>
          <w:spacing w:val="4"/>
          <w:u w:val="single"/>
        </w:rPr>
      </w:pPr>
      <w:r>
        <w:rPr>
          <w:rFonts w:hint="eastAsia"/>
          <w:spacing w:val="4"/>
        </w:rPr>
        <w:t>日期：</w:t>
      </w:r>
    </w:p>
    <w:p w14:paraId="4C973033">
      <w:pPr>
        <w:snapToGrid w:val="0"/>
        <w:spacing w:line="360" w:lineRule="auto"/>
        <w:ind w:left="360"/>
        <w:rPr>
          <w:spacing w:val="4"/>
          <w:u w:val="single"/>
        </w:rPr>
      </w:pPr>
    </w:p>
    <w:p w14:paraId="1B0A7103">
      <w:pPr>
        <w:autoSpaceDE/>
        <w:autoSpaceDN/>
        <w:adjustRightInd/>
        <w:spacing w:line="440" w:lineRule="exact"/>
        <w:ind w:left="780"/>
        <w:jc w:val="both"/>
        <w:rPr>
          <w:bCs/>
        </w:rPr>
      </w:pPr>
      <w:r>
        <w:rPr>
          <w:rFonts w:ascii="黑体" w:eastAsia="黑体"/>
          <w:b/>
          <w:bCs/>
          <w:sz w:val="28"/>
        </w:rPr>
        <w:br w:type="page"/>
      </w:r>
    </w:p>
    <w:p w14:paraId="3696D431">
      <w:pPr>
        <w:autoSpaceDE/>
        <w:autoSpaceDN/>
        <w:adjustRightInd/>
        <w:spacing w:afterLines="50"/>
        <w:jc w:val="center"/>
        <w:outlineLvl w:val="2"/>
        <w:rPr>
          <w:rFonts w:ascii="仿宋_GB2312" w:eastAsia="仿宋_GB2312"/>
          <w:b/>
          <w:kern w:val="2"/>
          <w:sz w:val="28"/>
          <w:szCs w:val="28"/>
        </w:rPr>
      </w:pPr>
      <w:bookmarkStart w:id="62" w:name="_Toc416771370"/>
      <w:bookmarkStart w:id="63" w:name="_Toc410738981"/>
      <w:bookmarkStart w:id="64" w:name="_Toc416770260"/>
      <w:bookmarkStart w:id="65" w:name="_Toc416770261"/>
      <w:bookmarkStart w:id="66" w:name="_Toc410738983"/>
      <w:bookmarkStart w:id="67" w:name="_Toc275865608"/>
      <w:bookmarkStart w:id="68" w:name="_Toc410736182"/>
      <w:bookmarkStart w:id="69" w:name="_Toc410736184"/>
      <w:bookmarkStart w:id="70" w:name="_Toc416771371"/>
      <w:r>
        <w:rPr>
          <w:rFonts w:hint="eastAsia" w:ascii="仿宋_GB2312" w:eastAsia="仿宋_GB2312"/>
          <w:b/>
          <w:kern w:val="2"/>
          <w:sz w:val="28"/>
          <w:szCs w:val="28"/>
        </w:rPr>
        <w:t>法定代表人授权委托书</w:t>
      </w:r>
    </w:p>
    <w:p w14:paraId="7C501AE8">
      <w:pPr>
        <w:pStyle w:val="7"/>
        <w:adjustRightInd w:val="0"/>
        <w:snapToGrid w:val="0"/>
        <w:spacing w:line="440" w:lineRule="exact"/>
        <w:ind w:firstLine="420" w:firstLineChars="200"/>
      </w:pPr>
      <w:r>
        <w:rPr>
          <w:rFonts w:hint="eastAsia"/>
        </w:rPr>
        <w:t>本授权委托书声明：注册于</w:t>
      </w:r>
      <w:r>
        <w:rPr>
          <w:rFonts w:hint="eastAsia"/>
          <w:u w:val="single"/>
        </w:rPr>
        <w:t xml:space="preserve"> （响应供应商地址）  </w:t>
      </w:r>
      <w:r>
        <w:rPr>
          <w:rFonts w:hint="eastAsia"/>
        </w:rPr>
        <w:t>的</w:t>
      </w:r>
      <w:r>
        <w:rPr>
          <w:rFonts w:hint="eastAsia"/>
          <w:u w:val="single"/>
        </w:rPr>
        <w:t xml:space="preserve">  （响应供应商名称）    </w:t>
      </w:r>
      <w:r>
        <w:rPr>
          <w:rFonts w:hint="eastAsia"/>
        </w:rPr>
        <w:t>在下面签名的</w:t>
      </w:r>
      <w:r>
        <w:rPr>
          <w:rFonts w:hint="eastAsia"/>
          <w:u w:val="single"/>
        </w:rPr>
        <w:t>（法定代表人姓名、职务）</w:t>
      </w:r>
      <w:r>
        <w:rPr>
          <w:rFonts w:hint="eastAsia"/>
        </w:rPr>
        <w:t>在此授权</w:t>
      </w:r>
      <w:r>
        <w:rPr>
          <w:rFonts w:hint="eastAsia"/>
          <w:u w:val="single"/>
        </w:rPr>
        <w:t>（被授权人姓名、职务）</w:t>
      </w:r>
      <w:r>
        <w:rPr>
          <w:rFonts w:hint="eastAsia"/>
        </w:rPr>
        <w:t>作为我公司的合法代理人，就</w:t>
      </w:r>
      <w:r>
        <w:rPr>
          <w:rFonts w:hint="eastAsia"/>
          <w:u w:val="single"/>
        </w:rPr>
        <w:t xml:space="preserve">  </w:t>
      </w:r>
      <w:r>
        <w:rPr>
          <w:rFonts w:hint="eastAsia"/>
          <w:u w:val="single"/>
          <w:lang w:eastAsia="zh-CN"/>
        </w:rPr>
        <w:t>南澳县博物馆消防维护修理及监控设备合并扩容项目</w:t>
      </w:r>
      <w:r>
        <w:rPr>
          <w:rFonts w:hint="eastAsia"/>
          <w:u w:val="single"/>
        </w:rPr>
        <w:t xml:space="preserve"> </w:t>
      </w:r>
      <w:r>
        <w:rPr>
          <w:rFonts w:hint="eastAsia"/>
        </w:rPr>
        <w:t>（项目编号：</w:t>
      </w:r>
      <w:r>
        <w:rPr>
          <w:rFonts w:hint="eastAsia"/>
          <w:lang w:eastAsia="zh-CN"/>
        </w:rPr>
        <w:t>GDQSST2024JC12002S</w:t>
      </w:r>
      <w:r>
        <w:rPr>
          <w:rFonts w:hint="eastAsia"/>
        </w:rPr>
        <w:t>）的磋商活动，磋商、采购合同的签订、执行、完成和售后服务，作为响应供应商代表以我方的名义处理一切与之有关的事务。</w:t>
      </w:r>
    </w:p>
    <w:p w14:paraId="297D71EE">
      <w:pPr>
        <w:pStyle w:val="7"/>
        <w:adjustRightInd w:val="0"/>
        <w:snapToGrid w:val="0"/>
        <w:spacing w:line="440" w:lineRule="exact"/>
        <w:ind w:firstLine="420" w:firstLineChars="200"/>
      </w:pPr>
      <w:r>
        <w:rPr>
          <w:rFonts w:hint="eastAsia"/>
        </w:rPr>
        <w:t>被授权人（响应供应商授权代表）无转委托权限。</w:t>
      </w:r>
    </w:p>
    <w:p w14:paraId="6FEBC917">
      <w:pPr>
        <w:snapToGrid w:val="0"/>
        <w:spacing w:line="440" w:lineRule="exact"/>
        <w:ind w:firstLine="420" w:firstLineChars="200"/>
        <w:rPr>
          <w:rFonts w:ascii="宋体"/>
        </w:rPr>
      </w:pPr>
      <w:r>
        <w:rPr>
          <w:rFonts w:hint="eastAsia" w:ascii="宋体"/>
        </w:rPr>
        <w:t>本授权书自法定代表人签字（盖章）之日起生效，特此声明。</w:t>
      </w:r>
    </w:p>
    <w:p w14:paraId="5F26A988">
      <w:pPr>
        <w:spacing w:line="360" w:lineRule="auto"/>
        <w:rPr>
          <w:rFonts w:ascii="宋体"/>
          <w:b/>
        </w:rPr>
      </w:pPr>
    </w:p>
    <w:p w14:paraId="40C33626">
      <w:pPr>
        <w:spacing w:line="360" w:lineRule="auto"/>
        <w:rPr>
          <w:rFonts w:ascii="宋体"/>
          <w:b/>
        </w:rPr>
      </w:pPr>
    </w:p>
    <w:p w14:paraId="3325A77A">
      <w:pPr>
        <w:spacing w:line="360" w:lineRule="auto"/>
        <w:rPr>
          <w:rFonts w:ascii="宋体"/>
          <w:b/>
        </w:rPr>
      </w:pPr>
      <w:r>
        <w:rPr>
          <w:rFonts w:hint="eastAsia" w:ascii="宋体"/>
          <w:b/>
        </w:rPr>
        <w:t>随附《法定代表人证明》</w:t>
      </w:r>
    </w:p>
    <w:p w14:paraId="274EFBC6">
      <w:pPr>
        <w:spacing w:line="360" w:lineRule="auto"/>
        <w:rPr>
          <w:rFonts w:ascii="宋体"/>
        </w:rPr>
      </w:pPr>
    </w:p>
    <w:p w14:paraId="7EB3C943">
      <w:pPr>
        <w:spacing w:line="360" w:lineRule="auto"/>
        <w:rPr>
          <w:rFonts w:ascii="宋体"/>
        </w:rPr>
      </w:pPr>
      <w:r>
        <w:rPr>
          <w:rFonts w:hint="eastAsia" w:ascii="宋体"/>
        </w:rPr>
        <w:t>响应供应商名称（</w:t>
      </w:r>
      <w:r>
        <w:rPr>
          <w:rFonts w:hint="eastAsia" w:ascii="宋体" w:hAnsi="宋体"/>
        </w:rPr>
        <w:t>盖</w:t>
      </w:r>
      <w:r>
        <w:rPr>
          <w:rFonts w:hint="eastAsia" w:ascii="宋体"/>
        </w:rPr>
        <w:t>公章）：</w:t>
      </w:r>
    </w:p>
    <w:p w14:paraId="68D9CB13">
      <w:pPr>
        <w:spacing w:line="360" w:lineRule="auto"/>
        <w:rPr>
          <w:rFonts w:ascii="宋体"/>
        </w:rPr>
      </w:pPr>
    </w:p>
    <w:p w14:paraId="485769CD">
      <w:pPr>
        <w:tabs>
          <w:tab w:val="left" w:pos="3780"/>
        </w:tabs>
        <w:spacing w:line="360" w:lineRule="auto"/>
        <w:rPr>
          <w:rFonts w:ascii="宋体"/>
        </w:rPr>
      </w:pPr>
      <w:r>
        <w:rPr>
          <w:rFonts w:hint="eastAsia" w:ascii="宋体"/>
        </w:rPr>
        <w:t>法定代表人（签署本人姓名或印盖本人姓名章）：                签字日期：</w:t>
      </w:r>
      <w:r>
        <w:rPr>
          <w:rFonts w:hint="eastAsia" w:ascii="宋体" w:hAnsi="宋体"/>
          <w:u w:val="single"/>
        </w:rPr>
        <w:t xml:space="preserve">     </w:t>
      </w:r>
      <w:r>
        <w:rPr>
          <w:rFonts w:hint="eastAsia" w:ascii="宋体" w:hAnsi="宋体"/>
        </w:rPr>
        <w:t>年</w:t>
      </w:r>
      <w:r>
        <w:rPr>
          <w:rFonts w:hint="eastAsia" w:ascii="宋体" w:hAnsi="宋体"/>
          <w:u w:val="single"/>
        </w:rPr>
        <w:t xml:space="preserve">   </w:t>
      </w:r>
      <w:r>
        <w:rPr>
          <w:rFonts w:hint="eastAsia" w:ascii="宋体" w:hAnsi="宋体"/>
        </w:rPr>
        <w:t>月</w:t>
      </w:r>
      <w:r>
        <w:rPr>
          <w:rFonts w:hint="eastAsia" w:ascii="宋体" w:hAnsi="宋体"/>
          <w:u w:val="single"/>
        </w:rPr>
        <w:t xml:space="preserve">   </w:t>
      </w:r>
      <w:r>
        <w:rPr>
          <w:rFonts w:hint="eastAsia" w:ascii="宋体" w:hAnsi="宋体"/>
        </w:rPr>
        <w:t>日</w:t>
      </w:r>
    </w:p>
    <w:p w14:paraId="03B8D7DE">
      <w:pPr>
        <w:numPr>
          <w:ilvl w:val="0"/>
          <w:numId w:val="22"/>
        </w:numPr>
        <w:autoSpaceDE/>
        <w:autoSpaceDN/>
        <w:adjustRightInd/>
        <w:spacing w:line="440" w:lineRule="exact"/>
        <w:ind w:hanging="780"/>
        <w:jc w:val="both"/>
        <w:rPr>
          <w:rFonts w:ascii="黑体" w:eastAsia="黑体"/>
          <w:bCs/>
          <w:sz w:val="28"/>
        </w:rPr>
      </w:pPr>
      <w:r>
        <w:rPr>
          <w:sz w:val="30"/>
        </w:rPr>
        <mc:AlternateContent>
          <mc:Choice Requires="wps">
            <w:drawing>
              <wp:anchor distT="0" distB="0" distL="114300" distR="114300" simplePos="0" relativeHeight="251659264" behindDoc="0" locked="0" layoutInCell="1" allowOverlap="1">
                <wp:simplePos x="0" y="0"/>
                <wp:positionH relativeFrom="column">
                  <wp:posOffset>1362075</wp:posOffset>
                </wp:positionH>
                <wp:positionV relativeFrom="paragraph">
                  <wp:posOffset>739140</wp:posOffset>
                </wp:positionV>
                <wp:extent cx="2753995" cy="1487805"/>
                <wp:effectExtent l="4445" t="4445" r="22860" b="12700"/>
                <wp:wrapNone/>
                <wp:docPr id="1" name="矩形 4"/>
                <wp:cNvGraphicFramePr/>
                <a:graphic xmlns:a="http://schemas.openxmlformats.org/drawingml/2006/main">
                  <a:graphicData uri="http://schemas.microsoft.com/office/word/2010/wordprocessingShape">
                    <wps:wsp>
                      <wps:cNvSpPr/>
                      <wps:spPr>
                        <a:xfrm>
                          <a:off x="0" y="0"/>
                          <a:ext cx="2753995" cy="148780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0E2E1D9">
                            <w:pPr>
                              <w:jc w:val="center"/>
                            </w:pPr>
                            <w:r>
                              <w:rPr>
                                <w:rFonts w:hint="eastAsia"/>
                              </w:rPr>
                              <w:t>被授权人（授权代表）</w:t>
                            </w:r>
                          </w:p>
                          <w:p w14:paraId="2407E8E6">
                            <w:pPr>
                              <w:jc w:val="center"/>
                            </w:pPr>
                            <w:r>
                              <w:rPr>
                                <w:rFonts w:hint="eastAsia"/>
                              </w:rPr>
                              <w:t>居民身份证复印件粘贴处</w:t>
                            </w:r>
                          </w:p>
                          <w:p w14:paraId="300CF441">
                            <w:pPr>
                              <w:ind w:firstLine="1470" w:firstLineChars="700"/>
                              <w:rPr>
                                <w:rFonts w:hint="eastAsia" w:eastAsia="宋体"/>
                                <w:lang w:eastAsia="zh-CN"/>
                              </w:rPr>
                            </w:pPr>
                            <w:r>
                              <w:rPr>
                                <w:rFonts w:hint="eastAsia"/>
                                <w:lang w:eastAsia="zh-CN"/>
                              </w:rPr>
                              <w:t>（正反面）</w:t>
                            </w:r>
                          </w:p>
                          <w:p w14:paraId="3078B089"/>
                        </w:txbxContent>
                      </wps:txbx>
                      <wps:bodyPr upright="1"/>
                    </wps:wsp>
                  </a:graphicData>
                </a:graphic>
              </wp:anchor>
            </w:drawing>
          </mc:Choice>
          <mc:Fallback>
            <w:pict>
              <v:rect id="矩形 4" o:spid="_x0000_s1026" o:spt="1" style="position:absolute;left:0pt;margin-left:107.25pt;margin-top:58.2pt;height:117.15pt;width:216.85pt;z-index:251659264;mso-width-relative:page;mso-height-relative:page;" fillcolor="#FFFFFF" filled="t" stroked="t" coordsize="21600,21600" o:gfxdata="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KOV342QAAAAsBAAAPAAAAAAAAAAEAIAAAACIAAABkcnMv&#10;ZG93bnJldi54bWxQSwECFAAUAAAACACHTuJA6gca0wICAAAqBAAADgAAAAAAAAABACAAAAAoAQAA&#10;ZHJzL2Uyb0RvYy54bWxQSwUGAAAAAAYABgBZAQAAnAUAAAAA&#10;">
                <v:fill on="t" focussize="0,0"/>
                <v:stroke color="#000000" joinstyle="miter"/>
                <v:imagedata o:title=""/>
                <o:lock v:ext="edit" aspectratio="f"/>
                <v:textbox>
                  <w:txbxContent>
                    <w:p w14:paraId="40E2E1D9">
                      <w:pPr>
                        <w:jc w:val="center"/>
                      </w:pPr>
                      <w:r>
                        <w:rPr>
                          <w:rFonts w:hint="eastAsia"/>
                        </w:rPr>
                        <w:t>被授权人（授权代表）</w:t>
                      </w:r>
                    </w:p>
                    <w:p w14:paraId="2407E8E6">
                      <w:pPr>
                        <w:jc w:val="center"/>
                      </w:pPr>
                      <w:r>
                        <w:rPr>
                          <w:rFonts w:hint="eastAsia"/>
                        </w:rPr>
                        <w:t>居民身份证复印件粘贴处</w:t>
                      </w:r>
                    </w:p>
                    <w:p w14:paraId="300CF441">
                      <w:pPr>
                        <w:ind w:firstLine="1470" w:firstLineChars="700"/>
                        <w:rPr>
                          <w:rFonts w:hint="eastAsia" w:eastAsia="宋体"/>
                          <w:lang w:eastAsia="zh-CN"/>
                        </w:rPr>
                      </w:pPr>
                      <w:r>
                        <w:rPr>
                          <w:rFonts w:hint="eastAsia"/>
                          <w:lang w:eastAsia="zh-CN"/>
                        </w:rPr>
                        <w:t>（正反面）</w:t>
                      </w:r>
                    </w:p>
                    <w:p w14:paraId="3078B089"/>
                  </w:txbxContent>
                </v:textbox>
              </v:rect>
            </w:pict>
          </mc:Fallback>
        </mc:AlternateContent>
      </w:r>
      <w:r>
        <w:rPr>
          <w:rFonts w:ascii="宋体"/>
        </w:rPr>
        <w:br w:type="page"/>
      </w:r>
      <w:bookmarkStart w:id="71" w:name="_承诺函"/>
      <w:bookmarkEnd w:id="71"/>
    </w:p>
    <w:bookmarkEnd w:id="62"/>
    <w:bookmarkEnd w:id="63"/>
    <w:bookmarkEnd w:id="64"/>
    <w:bookmarkEnd w:id="65"/>
    <w:bookmarkEnd w:id="66"/>
    <w:bookmarkEnd w:id="67"/>
    <w:bookmarkEnd w:id="68"/>
    <w:bookmarkEnd w:id="69"/>
    <w:bookmarkEnd w:id="70"/>
    <w:p w14:paraId="6B1C6984">
      <w:pPr>
        <w:autoSpaceDE/>
        <w:autoSpaceDN/>
        <w:adjustRightInd/>
        <w:spacing w:afterLines="50"/>
        <w:jc w:val="center"/>
        <w:outlineLvl w:val="2"/>
        <w:rPr>
          <w:rFonts w:ascii="仿宋_GB2312" w:eastAsia="仿宋_GB2312"/>
          <w:b/>
          <w:kern w:val="2"/>
          <w:sz w:val="28"/>
          <w:szCs w:val="28"/>
        </w:rPr>
      </w:pPr>
      <w:r>
        <w:rPr>
          <w:rFonts w:hint="eastAsia" w:ascii="仿宋_GB2312" w:eastAsia="仿宋_GB2312"/>
          <w:b/>
          <w:kern w:val="2"/>
          <w:sz w:val="28"/>
          <w:szCs w:val="28"/>
        </w:rPr>
        <w:t>法定代表人证明书</w:t>
      </w:r>
    </w:p>
    <w:p w14:paraId="54C5F756">
      <w:pPr>
        <w:tabs>
          <w:tab w:val="left" w:pos="900"/>
        </w:tabs>
        <w:spacing w:line="480" w:lineRule="auto"/>
        <w:ind w:firstLine="945" w:firstLineChars="450"/>
        <w:rPr>
          <w:rFonts w:ascii="宋体" w:hAnsi="宋体"/>
        </w:rPr>
      </w:pPr>
      <w:r>
        <w:rPr>
          <w:rFonts w:hint="eastAsia" w:ascii="宋体" w:hAnsi="宋体"/>
        </w:rPr>
        <w:t>______________同志，现任我单位</w:t>
      </w:r>
      <w:r>
        <w:rPr>
          <w:rFonts w:ascii="宋体" w:hAnsi="宋体"/>
          <w:u w:val="single"/>
        </w:rPr>
        <w:t xml:space="preserve">         </w:t>
      </w:r>
      <w:r>
        <w:rPr>
          <w:rFonts w:hint="eastAsia" w:ascii="宋体" w:hAnsi="宋体"/>
        </w:rPr>
        <w:t>职务，为法定代表人，特此证明。</w:t>
      </w:r>
    </w:p>
    <w:p w14:paraId="7B037D91">
      <w:pPr>
        <w:spacing w:line="360" w:lineRule="auto"/>
        <w:ind w:firstLine="420" w:firstLineChars="200"/>
        <w:rPr>
          <w:rFonts w:ascii="宋体" w:hAnsi="宋体"/>
        </w:rPr>
      </w:pPr>
      <w:r>
        <w:rPr>
          <w:rFonts w:hint="eastAsia" w:ascii="宋体"/>
        </w:rPr>
        <w:t>本证明书自签发之日起生效，</w:t>
      </w:r>
      <w:r>
        <w:rPr>
          <w:rFonts w:hint="eastAsia" w:ascii="宋体" w:hAnsi="宋体"/>
        </w:rPr>
        <w:t>有效期与本公司响应文件中标注的响应有效期相同。</w:t>
      </w:r>
    </w:p>
    <w:p w14:paraId="11457736">
      <w:pPr>
        <w:spacing w:line="480" w:lineRule="auto"/>
        <w:ind w:firstLine="420" w:firstLineChars="200"/>
        <w:rPr>
          <w:rFonts w:ascii="宋体" w:hAnsi="宋体"/>
        </w:rPr>
      </w:pPr>
      <w:r>
        <w:rPr>
          <w:rFonts w:ascii="宋体" w:hAnsi="宋体"/>
        </w:rPr>
        <w:t xml:space="preserve">       </w:t>
      </w:r>
    </w:p>
    <w:p w14:paraId="73E75242">
      <w:pPr>
        <w:spacing w:line="480" w:lineRule="auto"/>
        <w:ind w:firstLine="420" w:firstLineChars="200"/>
        <w:rPr>
          <w:rFonts w:ascii="宋体" w:hAnsi="宋体"/>
        </w:rPr>
      </w:pPr>
      <w:r>
        <w:rPr>
          <w:rFonts w:hint="eastAsia" w:ascii="宋体" w:hAnsi="宋体"/>
        </w:rPr>
        <w:t>附：</w:t>
      </w:r>
    </w:p>
    <w:p w14:paraId="1230C9DD">
      <w:pPr>
        <w:spacing w:line="480" w:lineRule="auto"/>
        <w:ind w:firstLine="840" w:firstLineChars="400"/>
        <w:rPr>
          <w:rFonts w:ascii="宋体" w:hAnsi="宋体"/>
        </w:rPr>
      </w:pPr>
      <w:r>
        <w:rPr>
          <w:rFonts w:hint="eastAsia" w:ascii="宋体" w:hAnsi="宋体"/>
        </w:rPr>
        <w:t xml:space="preserve">营业执照（注册号）：                       </w:t>
      </w:r>
    </w:p>
    <w:p w14:paraId="1C8FD8CA">
      <w:pPr>
        <w:spacing w:line="480" w:lineRule="auto"/>
        <w:ind w:firstLine="840" w:firstLineChars="400"/>
        <w:rPr>
          <w:rFonts w:ascii="宋体" w:hAnsi="宋体"/>
        </w:rPr>
      </w:pPr>
      <w:r>
        <w:rPr>
          <w:rFonts w:hint="eastAsia" w:ascii="宋体" w:hAnsi="宋体"/>
        </w:rPr>
        <w:t>经济性质：</w:t>
      </w:r>
    </w:p>
    <w:p w14:paraId="20E09D7D">
      <w:pPr>
        <w:spacing w:line="480" w:lineRule="auto"/>
        <w:ind w:firstLine="840" w:firstLineChars="400"/>
        <w:rPr>
          <w:rFonts w:ascii="宋体" w:hAnsi="宋体"/>
        </w:rPr>
      </w:pPr>
      <w:r>
        <w:rPr>
          <w:rFonts w:hint="eastAsia" w:ascii="宋体" w:hAnsi="宋体"/>
        </w:rPr>
        <w:t>主营（产）：</w:t>
      </w:r>
    </w:p>
    <w:p w14:paraId="69108FAF">
      <w:pPr>
        <w:spacing w:line="480" w:lineRule="auto"/>
        <w:ind w:firstLine="840" w:firstLineChars="400"/>
        <w:rPr>
          <w:rFonts w:ascii="宋体" w:hAnsi="宋体"/>
        </w:rPr>
      </w:pPr>
      <w:r>
        <w:rPr>
          <w:rFonts w:hint="eastAsia" w:ascii="宋体" w:hAnsi="宋体"/>
        </w:rPr>
        <w:t>兼营（产）：</w:t>
      </w:r>
    </w:p>
    <w:p w14:paraId="20851087">
      <w:pPr>
        <w:spacing w:line="360" w:lineRule="auto"/>
        <w:rPr>
          <w:rFonts w:ascii="宋体"/>
        </w:rPr>
      </w:pPr>
      <w:r>
        <w:rPr>
          <w:sz w:val="30"/>
        </w:rPr>
        <mc:AlternateContent>
          <mc:Choice Requires="wps">
            <w:drawing>
              <wp:anchor distT="0" distB="0" distL="114300" distR="114300" simplePos="0" relativeHeight="251660288" behindDoc="0" locked="0" layoutInCell="1" allowOverlap="1">
                <wp:simplePos x="0" y="0"/>
                <wp:positionH relativeFrom="column">
                  <wp:posOffset>1485900</wp:posOffset>
                </wp:positionH>
                <wp:positionV relativeFrom="paragraph">
                  <wp:posOffset>131445</wp:posOffset>
                </wp:positionV>
                <wp:extent cx="2753995" cy="1487805"/>
                <wp:effectExtent l="4445" t="4445" r="22860" b="12700"/>
                <wp:wrapNone/>
                <wp:docPr id="2" name="矩形 21"/>
                <wp:cNvGraphicFramePr/>
                <a:graphic xmlns:a="http://schemas.openxmlformats.org/drawingml/2006/main">
                  <a:graphicData uri="http://schemas.microsoft.com/office/word/2010/wordprocessingShape">
                    <wps:wsp>
                      <wps:cNvSpPr/>
                      <wps:spPr>
                        <a:xfrm>
                          <a:off x="0" y="0"/>
                          <a:ext cx="2753995" cy="148780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ED39912">
                            <w:pPr>
                              <w:jc w:val="center"/>
                            </w:pPr>
                            <w:r>
                              <w:rPr>
                                <w:rFonts w:hint="eastAsia"/>
                                <w:lang w:eastAsia="zh-CN"/>
                              </w:rPr>
                              <w:t>法定代表</w:t>
                            </w:r>
                            <w:r>
                              <w:rPr>
                                <w:rFonts w:hint="eastAsia"/>
                              </w:rPr>
                              <w:t>人</w:t>
                            </w:r>
                            <w:r>
                              <w:rPr>
                                <w:rFonts w:hint="eastAsia"/>
                                <w:lang w:val="en-US" w:eastAsia="zh-CN"/>
                              </w:rPr>
                              <w:t>/负责人</w:t>
                            </w:r>
                          </w:p>
                          <w:p w14:paraId="0E5612FD">
                            <w:pPr>
                              <w:jc w:val="center"/>
                            </w:pPr>
                            <w:r>
                              <w:rPr>
                                <w:rFonts w:hint="eastAsia"/>
                              </w:rPr>
                              <w:t>居民身份证复印件粘贴处</w:t>
                            </w:r>
                          </w:p>
                          <w:p w14:paraId="3BF1B88C">
                            <w:pPr>
                              <w:ind w:firstLine="1470" w:firstLineChars="700"/>
                              <w:rPr>
                                <w:rFonts w:hint="eastAsia" w:eastAsia="宋体"/>
                                <w:lang w:eastAsia="zh-CN"/>
                              </w:rPr>
                            </w:pPr>
                            <w:r>
                              <w:rPr>
                                <w:rFonts w:hint="eastAsia"/>
                                <w:lang w:eastAsia="zh-CN"/>
                              </w:rPr>
                              <w:t>（正反面）</w:t>
                            </w:r>
                          </w:p>
                          <w:p w14:paraId="707D0ED8"/>
                        </w:txbxContent>
                      </wps:txbx>
                      <wps:bodyPr upright="1"/>
                    </wps:wsp>
                  </a:graphicData>
                </a:graphic>
              </wp:anchor>
            </w:drawing>
          </mc:Choice>
          <mc:Fallback>
            <w:pict>
              <v:rect id="矩形 21" o:spid="_x0000_s1026" o:spt="1" style="position:absolute;left:0pt;margin-left:117pt;margin-top:10.35pt;height:117.15pt;width:216.85pt;z-index:251660288;mso-width-relative:page;mso-height-relative:page;" fillcolor="#FFFFFF" filled="t" stroked="t" coordsize="21600,21600" o:gfxdata="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UnjoHNgAAAAKAQAADwAAAAAAAAABACAAAAAiAAAAZHJzL2Rv&#10;d25yZXYueG1sUEsBAhQAFAAAAAgAh07iQPifXZEBAgAAKwQAAA4AAAAAAAAAAQAgAAAAJwEAAGRy&#10;cy9lMm9Eb2MueG1sUEsFBgAAAAAGAAYAWQEAAJoFAAAAAA==&#10;">
                <v:fill on="t" focussize="0,0"/>
                <v:stroke color="#000000" joinstyle="miter"/>
                <v:imagedata o:title=""/>
                <o:lock v:ext="edit" aspectratio="f"/>
                <v:textbox>
                  <w:txbxContent>
                    <w:p w14:paraId="1ED39912">
                      <w:pPr>
                        <w:jc w:val="center"/>
                      </w:pPr>
                      <w:r>
                        <w:rPr>
                          <w:rFonts w:hint="eastAsia"/>
                          <w:lang w:eastAsia="zh-CN"/>
                        </w:rPr>
                        <w:t>法定代表</w:t>
                      </w:r>
                      <w:r>
                        <w:rPr>
                          <w:rFonts w:hint="eastAsia"/>
                        </w:rPr>
                        <w:t>人</w:t>
                      </w:r>
                      <w:r>
                        <w:rPr>
                          <w:rFonts w:hint="eastAsia"/>
                          <w:lang w:val="en-US" w:eastAsia="zh-CN"/>
                        </w:rPr>
                        <w:t>/负责人</w:t>
                      </w:r>
                    </w:p>
                    <w:p w14:paraId="0E5612FD">
                      <w:pPr>
                        <w:jc w:val="center"/>
                      </w:pPr>
                      <w:r>
                        <w:rPr>
                          <w:rFonts w:hint="eastAsia"/>
                        </w:rPr>
                        <w:t>居民身份证复印件粘贴处</w:t>
                      </w:r>
                    </w:p>
                    <w:p w14:paraId="3BF1B88C">
                      <w:pPr>
                        <w:ind w:firstLine="1470" w:firstLineChars="700"/>
                        <w:rPr>
                          <w:rFonts w:hint="eastAsia" w:eastAsia="宋体"/>
                          <w:lang w:eastAsia="zh-CN"/>
                        </w:rPr>
                      </w:pPr>
                      <w:r>
                        <w:rPr>
                          <w:rFonts w:hint="eastAsia"/>
                          <w:lang w:eastAsia="zh-CN"/>
                        </w:rPr>
                        <w:t>（正反面）</w:t>
                      </w:r>
                    </w:p>
                    <w:p w14:paraId="707D0ED8"/>
                  </w:txbxContent>
                </v:textbox>
              </v:rect>
            </w:pict>
          </mc:Fallback>
        </mc:AlternateContent>
      </w:r>
    </w:p>
    <w:p w14:paraId="036CA4CC">
      <w:pPr>
        <w:spacing w:line="360" w:lineRule="auto"/>
        <w:rPr>
          <w:rFonts w:ascii="宋体"/>
        </w:rPr>
      </w:pPr>
    </w:p>
    <w:p w14:paraId="48AD7449">
      <w:pPr>
        <w:spacing w:line="500" w:lineRule="exact"/>
        <w:rPr>
          <w:rFonts w:ascii="宋体"/>
          <w:b/>
          <w:bCs/>
        </w:rPr>
      </w:pPr>
    </w:p>
    <w:p w14:paraId="2C8D1555">
      <w:pPr>
        <w:spacing w:line="500" w:lineRule="exact"/>
        <w:rPr>
          <w:rFonts w:ascii="宋体"/>
          <w:b/>
          <w:bCs/>
        </w:rPr>
      </w:pPr>
    </w:p>
    <w:p w14:paraId="43DC1F2E">
      <w:pPr>
        <w:spacing w:line="500" w:lineRule="exact"/>
        <w:rPr>
          <w:rFonts w:ascii="宋体"/>
          <w:b/>
          <w:bCs/>
        </w:rPr>
      </w:pPr>
    </w:p>
    <w:p w14:paraId="1EF8BF49">
      <w:pPr>
        <w:spacing w:line="500" w:lineRule="exact"/>
        <w:rPr>
          <w:rFonts w:ascii="宋体"/>
          <w:b/>
          <w:bCs/>
        </w:rPr>
      </w:pPr>
      <w:r>
        <w:rPr>
          <w:rFonts w:hint="eastAsia" w:ascii="宋体"/>
          <w:b/>
          <w:bCs/>
        </w:rPr>
        <w:t xml:space="preserve">                         </w:t>
      </w:r>
    </w:p>
    <w:p w14:paraId="44E39451">
      <w:pPr>
        <w:spacing w:line="500" w:lineRule="exact"/>
        <w:rPr>
          <w:rFonts w:ascii="宋体" w:hAnsi="宋体"/>
        </w:rPr>
      </w:pPr>
      <w:r>
        <w:rPr>
          <w:rFonts w:hint="eastAsia" w:ascii="宋体"/>
          <w:b/>
          <w:bCs/>
        </w:rPr>
        <w:t xml:space="preserve">                                           </w:t>
      </w:r>
      <w:r>
        <w:rPr>
          <w:rFonts w:hint="eastAsia" w:ascii="宋体" w:hAnsi="宋体"/>
        </w:rPr>
        <w:t>响应供应商名称：（盖公章）：</w:t>
      </w:r>
    </w:p>
    <w:p w14:paraId="6F3F0E18">
      <w:pPr>
        <w:spacing w:line="500" w:lineRule="exact"/>
        <w:rPr>
          <w:rFonts w:ascii="宋体" w:hAnsi="宋体"/>
        </w:rPr>
      </w:pPr>
      <w:r>
        <w:rPr>
          <w:rFonts w:hint="eastAsia" w:ascii="宋体" w:hAnsi="宋体"/>
        </w:rPr>
        <w:t xml:space="preserve">                                          </w:t>
      </w:r>
    </w:p>
    <w:p w14:paraId="30DD5430">
      <w:pPr>
        <w:spacing w:line="500" w:lineRule="exact"/>
        <w:rPr>
          <w:rFonts w:ascii="宋体" w:hAnsi="宋体"/>
        </w:rPr>
      </w:pPr>
      <w:r>
        <w:rPr>
          <w:rFonts w:hint="eastAsia" w:ascii="宋体" w:hAnsi="宋体"/>
        </w:rPr>
        <w:t xml:space="preserve">                                           签发日期：</w:t>
      </w:r>
    </w:p>
    <w:p w14:paraId="60DB682A">
      <w:pPr>
        <w:spacing w:line="500" w:lineRule="exact"/>
        <w:rPr>
          <w:rFonts w:ascii="宋体" w:hAnsi="宋体"/>
        </w:rPr>
      </w:pPr>
      <w:r>
        <w:rPr>
          <w:rFonts w:hint="eastAsia" w:ascii="宋体" w:hAnsi="宋体"/>
        </w:rPr>
        <w:t xml:space="preserve">                                          </w:t>
      </w:r>
    </w:p>
    <w:p w14:paraId="7B9A75BD">
      <w:pPr>
        <w:spacing w:line="500" w:lineRule="exact"/>
        <w:rPr>
          <w:rFonts w:ascii="宋体" w:hAnsi="宋体"/>
        </w:rPr>
      </w:pPr>
      <w:r>
        <w:rPr>
          <w:rFonts w:hint="eastAsia" w:ascii="宋体" w:hAnsi="宋体"/>
        </w:rPr>
        <w:t xml:space="preserve">                                           签发日期：</w:t>
      </w:r>
    </w:p>
    <w:p w14:paraId="039AF588">
      <w:pPr>
        <w:widowControl/>
        <w:autoSpaceDE/>
        <w:autoSpaceDN/>
        <w:adjustRightInd/>
        <w:rPr>
          <w:rFonts w:ascii="仿宋_GB2312" w:eastAsia="仿宋_GB2312"/>
          <w:b/>
          <w:kern w:val="2"/>
          <w:sz w:val="28"/>
          <w:szCs w:val="28"/>
        </w:rPr>
      </w:pPr>
    </w:p>
    <w:p w14:paraId="126A6BE3">
      <w:pPr>
        <w:autoSpaceDE/>
        <w:autoSpaceDN/>
        <w:adjustRightInd/>
        <w:spacing w:beforeLines="100" w:afterLines="50" w:line="360" w:lineRule="auto"/>
        <w:jc w:val="center"/>
        <w:outlineLvl w:val="2"/>
        <w:rPr>
          <w:rFonts w:ascii="仿宋_GB2312" w:eastAsia="仿宋_GB2312"/>
          <w:b/>
          <w:kern w:val="2"/>
          <w:sz w:val="28"/>
          <w:szCs w:val="28"/>
        </w:rPr>
      </w:pPr>
    </w:p>
    <w:p w14:paraId="35DF593B">
      <w:pPr>
        <w:autoSpaceDE/>
        <w:autoSpaceDN/>
        <w:adjustRightInd/>
        <w:spacing w:beforeLines="100" w:afterLines="50" w:line="360" w:lineRule="auto"/>
        <w:jc w:val="center"/>
        <w:outlineLvl w:val="2"/>
        <w:rPr>
          <w:rFonts w:ascii="仿宋_GB2312" w:eastAsia="仿宋_GB2312"/>
          <w:b/>
          <w:kern w:val="2"/>
          <w:sz w:val="28"/>
          <w:szCs w:val="28"/>
        </w:rPr>
      </w:pPr>
    </w:p>
    <w:p w14:paraId="77419564">
      <w:pPr>
        <w:autoSpaceDE/>
        <w:autoSpaceDN/>
        <w:adjustRightInd/>
        <w:spacing w:beforeLines="100" w:afterLines="50" w:line="360" w:lineRule="auto"/>
        <w:jc w:val="center"/>
        <w:outlineLvl w:val="2"/>
        <w:rPr>
          <w:rFonts w:ascii="仿宋_GB2312" w:eastAsia="仿宋_GB2312"/>
          <w:b/>
          <w:kern w:val="2"/>
          <w:sz w:val="28"/>
          <w:szCs w:val="28"/>
        </w:rPr>
      </w:pPr>
    </w:p>
    <w:p w14:paraId="0F1A84FE">
      <w:pPr>
        <w:pStyle w:val="10"/>
      </w:pPr>
    </w:p>
    <w:p w14:paraId="21F7CA5F">
      <w:pPr>
        <w:autoSpaceDE/>
        <w:autoSpaceDN/>
        <w:adjustRightInd/>
        <w:spacing w:beforeLines="100" w:afterLines="50" w:line="360" w:lineRule="auto"/>
        <w:jc w:val="center"/>
        <w:outlineLvl w:val="2"/>
        <w:rPr>
          <w:rFonts w:ascii="仿宋_GB2312" w:eastAsia="仿宋_GB2312"/>
          <w:b/>
          <w:kern w:val="2"/>
          <w:sz w:val="28"/>
          <w:szCs w:val="28"/>
        </w:rPr>
      </w:pPr>
    </w:p>
    <w:p w14:paraId="08E07A0E">
      <w:pPr>
        <w:autoSpaceDE/>
        <w:autoSpaceDN/>
        <w:adjustRightInd/>
        <w:spacing w:beforeLines="100" w:afterLines="50" w:line="360" w:lineRule="auto"/>
        <w:jc w:val="center"/>
        <w:outlineLvl w:val="2"/>
        <w:rPr>
          <w:rFonts w:ascii="仿宋_GB2312" w:eastAsia="仿宋_GB2312"/>
          <w:b/>
          <w:kern w:val="2"/>
          <w:sz w:val="28"/>
          <w:szCs w:val="28"/>
        </w:rPr>
      </w:pPr>
      <w:r>
        <w:rPr>
          <w:rFonts w:hint="eastAsia" w:ascii="仿宋_GB2312" w:eastAsia="仿宋_GB2312"/>
          <w:b/>
          <w:kern w:val="2"/>
          <w:sz w:val="28"/>
          <w:szCs w:val="28"/>
        </w:rPr>
        <w:t>实质性条款响应一览表</w:t>
      </w:r>
    </w:p>
    <w:p w14:paraId="6F2E05DD">
      <w:pPr>
        <w:spacing w:line="360" w:lineRule="auto"/>
        <w:ind w:left="945" w:hanging="945" w:hangingChars="450"/>
        <w:rPr>
          <w:rFonts w:ascii="宋体" w:hAnsi="宋体"/>
        </w:rPr>
      </w:pPr>
      <w:r>
        <w:rPr>
          <w:rFonts w:hint="eastAsia" w:ascii="宋体" w:hAnsi="宋体"/>
        </w:rPr>
        <w:t>说明：响应供应商必须对应竞争性磋商文件带“</w:t>
      </w:r>
      <w:r>
        <w:rPr>
          <w:rFonts w:hint="eastAsia" w:ascii="宋体" w:hAnsi="宋体"/>
          <w:b/>
          <w:bCs/>
        </w:rPr>
        <w:t>★</w:t>
      </w:r>
      <w:r>
        <w:rPr>
          <w:rFonts w:hint="eastAsia" w:ascii="宋体" w:hAnsi="宋体"/>
        </w:rPr>
        <w:t>”的实质性条款逐条应答并按要求填写下表。</w:t>
      </w:r>
    </w:p>
    <w:p w14:paraId="1F77A1D6">
      <w:pPr>
        <w:spacing w:line="360" w:lineRule="auto"/>
        <w:rPr>
          <w:rFonts w:hint="eastAsia" w:ascii="宋体" w:hAnsi="宋体" w:eastAsia="宋体"/>
          <w:lang w:eastAsia="zh-CN"/>
        </w:rPr>
      </w:pPr>
      <w:r>
        <w:rPr>
          <w:rFonts w:hint="eastAsia" w:ascii="宋体" w:hAnsi="宋体"/>
        </w:rPr>
        <w:t>响应供应商名称：                                    项目编号：</w:t>
      </w:r>
      <w:r>
        <w:rPr>
          <w:rFonts w:hint="eastAsia" w:ascii="宋体" w:hAnsi="宋体"/>
          <w:lang w:eastAsia="zh-CN"/>
        </w:rPr>
        <w:t>GDQSST2024JC12002S</w:t>
      </w:r>
    </w:p>
    <w:tbl>
      <w:tblPr>
        <w:tblStyle w:val="13"/>
        <w:tblW w:w="954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96"/>
        <w:gridCol w:w="3283"/>
        <w:gridCol w:w="1788"/>
        <w:gridCol w:w="2126"/>
        <w:gridCol w:w="1847"/>
      </w:tblGrid>
      <w:tr w14:paraId="6D6404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496" w:type="dxa"/>
            <w:tcBorders>
              <w:top w:val="single" w:color="auto" w:sz="12" w:space="0"/>
              <w:bottom w:val="double" w:color="auto" w:sz="4" w:space="0"/>
            </w:tcBorders>
            <w:shd w:val="clear" w:color="auto" w:fill="EEECE1"/>
            <w:vAlign w:val="center"/>
          </w:tcPr>
          <w:p w14:paraId="74402567">
            <w:pPr>
              <w:ind w:left="-67" w:leftChars="-32" w:right="-99" w:rightChars="-47"/>
              <w:jc w:val="center"/>
              <w:rPr>
                <w:rFonts w:ascii="宋体" w:hAnsi="宋体"/>
              </w:rPr>
            </w:pPr>
            <w:r>
              <w:rPr>
                <w:rFonts w:hint="eastAsia" w:ascii="宋体" w:hAnsi="宋体"/>
              </w:rPr>
              <w:t>序号</w:t>
            </w:r>
          </w:p>
        </w:tc>
        <w:tc>
          <w:tcPr>
            <w:tcW w:w="3283" w:type="dxa"/>
            <w:tcBorders>
              <w:top w:val="single" w:color="auto" w:sz="12" w:space="0"/>
              <w:bottom w:val="double" w:color="auto" w:sz="4" w:space="0"/>
            </w:tcBorders>
            <w:shd w:val="clear" w:color="auto" w:fill="EEECE1"/>
            <w:vAlign w:val="center"/>
          </w:tcPr>
          <w:p w14:paraId="5B3254C3">
            <w:pPr>
              <w:jc w:val="center"/>
              <w:rPr>
                <w:rFonts w:ascii="宋体" w:hAnsi="宋体"/>
              </w:rPr>
            </w:pPr>
            <w:r>
              <w:rPr>
                <w:rFonts w:hint="eastAsia"/>
              </w:rPr>
              <w:t>竞争性磋商文件</w:t>
            </w:r>
            <w:r>
              <w:rPr>
                <w:rFonts w:hint="eastAsia" w:ascii="宋体" w:hAnsi="宋体"/>
              </w:rPr>
              <w:t>★号条款描述</w:t>
            </w:r>
          </w:p>
        </w:tc>
        <w:tc>
          <w:tcPr>
            <w:tcW w:w="1788" w:type="dxa"/>
            <w:tcBorders>
              <w:top w:val="single" w:color="auto" w:sz="12" w:space="0"/>
              <w:bottom w:val="double" w:color="auto" w:sz="4" w:space="0"/>
            </w:tcBorders>
            <w:shd w:val="clear" w:color="auto" w:fill="EEECE1"/>
            <w:vAlign w:val="center"/>
          </w:tcPr>
          <w:p w14:paraId="23DEF4AF">
            <w:pPr>
              <w:jc w:val="center"/>
              <w:rPr>
                <w:rFonts w:ascii="宋体" w:hAnsi="宋体"/>
              </w:rPr>
            </w:pPr>
            <w:r>
              <w:rPr>
                <w:rFonts w:hint="eastAsia" w:ascii="宋体" w:hAnsi="宋体"/>
              </w:rPr>
              <w:t>响应供应商响应描述</w:t>
            </w:r>
          </w:p>
        </w:tc>
        <w:tc>
          <w:tcPr>
            <w:tcW w:w="2126" w:type="dxa"/>
            <w:tcBorders>
              <w:top w:val="single" w:color="auto" w:sz="12" w:space="0"/>
              <w:bottom w:val="double" w:color="auto" w:sz="4" w:space="0"/>
              <w:right w:val="single" w:color="auto" w:sz="2" w:space="0"/>
            </w:tcBorders>
            <w:shd w:val="clear" w:color="auto" w:fill="EEECE1"/>
            <w:vAlign w:val="center"/>
          </w:tcPr>
          <w:p w14:paraId="227B3AC3">
            <w:pPr>
              <w:jc w:val="center"/>
              <w:rPr>
                <w:rFonts w:ascii="宋体" w:hAnsi="宋体"/>
              </w:rPr>
            </w:pPr>
            <w:r>
              <w:rPr>
                <w:rFonts w:hint="eastAsia" w:ascii="宋体" w:hAnsi="宋体"/>
              </w:rPr>
              <w:t>偏离情况说明</w:t>
            </w:r>
          </w:p>
          <w:p w14:paraId="207DB9ED">
            <w:pPr>
              <w:jc w:val="center"/>
              <w:rPr>
                <w:rFonts w:ascii="宋体" w:hAnsi="宋体"/>
              </w:rPr>
            </w:pPr>
            <w:r>
              <w:rPr>
                <w:rFonts w:hint="eastAsia" w:ascii="宋体" w:hAnsi="宋体"/>
              </w:rPr>
              <w:t>（正偏离/完全响应/负偏离）</w:t>
            </w:r>
          </w:p>
        </w:tc>
        <w:tc>
          <w:tcPr>
            <w:tcW w:w="1847" w:type="dxa"/>
            <w:tcBorders>
              <w:top w:val="single" w:color="auto" w:sz="12" w:space="0"/>
              <w:left w:val="single" w:color="auto" w:sz="2" w:space="0"/>
              <w:bottom w:val="double" w:color="auto" w:sz="4" w:space="0"/>
            </w:tcBorders>
            <w:shd w:val="clear" w:color="auto" w:fill="EEECE1"/>
            <w:vAlign w:val="center"/>
          </w:tcPr>
          <w:p w14:paraId="4F50B93A">
            <w:pPr>
              <w:jc w:val="center"/>
              <w:rPr>
                <w:rFonts w:ascii="宋体" w:hAnsi="宋体"/>
              </w:rPr>
            </w:pPr>
            <w:r>
              <w:rPr>
                <w:rFonts w:hint="eastAsia" w:ascii="宋体" w:hAnsi="宋体"/>
              </w:rPr>
              <w:t>查阅/证明文件指引</w:t>
            </w:r>
          </w:p>
        </w:tc>
      </w:tr>
      <w:tr w14:paraId="3A5EAC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10" w:hRule="atLeast"/>
          <w:jc w:val="center"/>
        </w:trPr>
        <w:tc>
          <w:tcPr>
            <w:tcW w:w="496" w:type="dxa"/>
            <w:tcBorders>
              <w:top w:val="double" w:color="auto" w:sz="4" w:space="0"/>
            </w:tcBorders>
            <w:vAlign w:val="center"/>
          </w:tcPr>
          <w:p w14:paraId="0E48FC10">
            <w:pPr>
              <w:jc w:val="center"/>
              <w:rPr>
                <w:rFonts w:ascii="宋体" w:hAnsi="宋体"/>
              </w:rPr>
            </w:pPr>
            <w:r>
              <w:rPr>
                <w:rFonts w:hint="eastAsia" w:ascii="宋体" w:hAnsi="宋体"/>
              </w:rPr>
              <w:t>1</w:t>
            </w:r>
          </w:p>
        </w:tc>
        <w:tc>
          <w:tcPr>
            <w:tcW w:w="3283" w:type="dxa"/>
            <w:tcBorders>
              <w:top w:val="double" w:color="auto" w:sz="4" w:space="0"/>
            </w:tcBorders>
            <w:vAlign w:val="center"/>
          </w:tcPr>
          <w:p w14:paraId="7CFC729A">
            <w:pPr>
              <w:pStyle w:val="2"/>
              <w:snapToGrid w:val="0"/>
              <w:spacing w:line="360" w:lineRule="auto"/>
              <w:rPr>
                <w:rFonts w:hint="default" w:ascii="宋体" w:hAnsi="宋体"/>
              </w:rPr>
            </w:pPr>
          </w:p>
        </w:tc>
        <w:tc>
          <w:tcPr>
            <w:tcW w:w="1788" w:type="dxa"/>
            <w:tcBorders>
              <w:top w:val="double" w:color="auto" w:sz="4" w:space="0"/>
            </w:tcBorders>
            <w:vAlign w:val="center"/>
          </w:tcPr>
          <w:p w14:paraId="3B6E0C62">
            <w:pPr>
              <w:jc w:val="center"/>
              <w:rPr>
                <w:rFonts w:ascii="宋体" w:hAnsi="宋体"/>
              </w:rPr>
            </w:pPr>
          </w:p>
        </w:tc>
        <w:tc>
          <w:tcPr>
            <w:tcW w:w="2126" w:type="dxa"/>
            <w:tcBorders>
              <w:top w:val="double" w:color="auto" w:sz="4" w:space="0"/>
              <w:right w:val="single" w:color="auto" w:sz="2" w:space="0"/>
            </w:tcBorders>
            <w:vAlign w:val="center"/>
          </w:tcPr>
          <w:p w14:paraId="298DC54C">
            <w:pPr>
              <w:jc w:val="center"/>
              <w:rPr>
                <w:rFonts w:ascii="宋体" w:hAnsi="宋体"/>
              </w:rPr>
            </w:pPr>
          </w:p>
        </w:tc>
        <w:tc>
          <w:tcPr>
            <w:tcW w:w="1847" w:type="dxa"/>
            <w:tcBorders>
              <w:top w:val="double" w:color="auto" w:sz="4" w:space="0"/>
              <w:left w:val="single" w:color="auto" w:sz="2" w:space="0"/>
            </w:tcBorders>
            <w:vAlign w:val="center"/>
          </w:tcPr>
          <w:p w14:paraId="0056C373">
            <w:pPr>
              <w:snapToGrid w:val="0"/>
              <w:jc w:val="center"/>
              <w:rPr>
                <w:rFonts w:ascii="宋体" w:hAnsi="宋体" w:cs="宋体"/>
              </w:rPr>
            </w:pPr>
            <w:r>
              <w:rPr>
                <w:rFonts w:hint="eastAsia" w:ascii="宋体" w:hAnsi="宋体" w:cs="宋体"/>
              </w:rPr>
              <w:t>见《响应文件》第页至页</w:t>
            </w:r>
          </w:p>
        </w:tc>
      </w:tr>
    </w:tbl>
    <w:p w14:paraId="0C7D8836">
      <w:pPr>
        <w:snapToGrid w:val="0"/>
        <w:spacing w:line="460" w:lineRule="exact"/>
        <w:rPr>
          <w:rFonts w:ascii="宋体" w:hAnsi="宋体"/>
        </w:rPr>
      </w:pPr>
      <w:r>
        <w:rPr>
          <w:rFonts w:hint="eastAsia" w:ascii="宋体" w:hAnsi="宋体"/>
        </w:rPr>
        <w:t>备注：</w:t>
      </w:r>
    </w:p>
    <w:p w14:paraId="74869C9B">
      <w:pPr>
        <w:snapToGrid w:val="0"/>
        <w:spacing w:line="460" w:lineRule="exact"/>
        <w:ind w:left="565" w:leftChars="107" w:hanging="340" w:hangingChars="162"/>
        <w:rPr>
          <w:rFonts w:ascii="宋体" w:hAnsi="宋体"/>
        </w:rPr>
      </w:pPr>
      <w:r>
        <w:rPr>
          <w:rFonts w:hint="eastAsia" w:ascii="宋体" w:hAnsi="宋体"/>
        </w:rPr>
        <w:t>1、本表中“竞争性磋商文件条款描述”的条款与用户需求中的条款描述不一致的以用户需求中规定的为准。</w:t>
      </w:r>
    </w:p>
    <w:p w14:paraId="53243257">
      <w:pPr>
        <w:tabs>
          <w:tab w:val="left" w:pos="142"/>
        </w:tabs>
        <w:snapToGrid w:val="0"/>
        <w:spacing w:line="460" w:lineRule="exact"/>
        <w:rPr>
          <w:spacing w:val="4"/>
        </w:rPr>
      </w:pPr>
      <w:r>
        <w:rPr>
          <w:rFonts w:hint="eastAsia" w:ascii="宋体" w:hAnsi="宋体"/>
        </w:rPr>
        <w:tab/>
      </w:r>
      <w:r>
        <w:rPr>
          <w:rFonts w:hint="eastAsia" w:ascii="宋体" w:hAnsi="宋体"/>
        </w:rPr>
        <w:t xml:space="preserve"> 2、响应供应商必须按磋商文件要求提供相关文件，</w:t>
      </w:r>
      <w:r>
        <w:rPr>
          <w:rFonts w:hint="eastAsia" w:ascii="宋体" w:hAnsi="宋体"/>
          <w:b/>
          <w:bCs/>
        </w:rPr>
        <w:t>如有任何一条未响应或不满足，按无效响应处理。</w:t>
      </w:r>
    </w:p>
    <w:p w14:paraId="02B2460F">
      <w:pPr>
        <w:spacing w:line="500" w:lineRule="exact"/>
        <w:rPr>
          <w:rFonts w:ascii="宋体" w:hAnsi="宋体"/>
          <w:u w:val="single"/>
        </w:rPr>
      </w:pPr>
      <w:r>
        <w:rPr>
          <w:rFonts w:hint="eastAsia" w:ascii="宋体" w:hAnsi="宋体"/>
        </w:rPr>
        <w:t>响应供应商</w:t>
      </w:r>
      <w:r>
        <w:rPr>
          <w:rFonts w:hint="eastAsia"/>
          <w:spacing w:val="4"/>
        </w:rPr>
        <w:t>名称（</w:t>
      </w:r>
      <w:r>
        <w:rPr>
          <w:rFonts w:hint="eastAsia" w:ascii="宋体" w:hAnsi="宋体"/>
        </w:rPr>
        <w:t>单位盖</w:t>
      </w:r>
      <w:r>
        <w:rPr>
          <w:rFonts w:hint="eastAsia"/>
          <w:spacing w:val="4"/>
        </w:rPr>
        <w:t>公章）：</w:t>
      </w:r>
    </w:p>
    <w:p w14:paraId="7B688A28">
      <w:pPr>
        <w:autoSpaceDE/>
        <w:autoSpaceDN/>
        <w:adjustRightInd/>
        <w:spacing w:line="440" w:lineRule="exact"/>
        <w:jc w:val="both"/>
        <w:rPr>
          <w:spacing w:val="4"/>
          <w:u w:val="single"/>
        </w:rPr>
      </w:pPr>
      <w:r>
        <w:rPr>
          <w:rFonts w:hint="eastAsia"/>
          <w:spacing w:val="4"/>
        </w:rPr>
        <w:t>日期：</w:t>
      </w:r>
    </w:p>
    <w:p w14:paraId="5BC96C6E">
      <w:pPr>
        <w:widowControl/>
        <w:autoSpaceDE/>
        <w:autoSpaceDN/>
        <w:adjustRightInd/>
        <w:rPr>
          <w:rFonts w:ascii="仿宋_GB2312" w:eastAsia="仿宋_GB2312"/>
          <w:b/>
          <w:kern w:val="2"/>
          <w:sz w:val="28"/>
          <w:szCs w:val="28"/>
        </w:rPr>
      </w:pPr>
      <w:r>
        <w:rPr>
          <w:rFonts w:ascii="仿宋_GB2312" w:eastAsia="仿宋_GB2312"/>
          <w:b/>
          <w:kern w:val="2"/>
          <w:sz w:val="28"/>
          <w:szCs w:val="28"/>
        </w:rPr>
        <w:br w:type="page"/>
      </w:r>
    </w:p>
    <w:p w14:paraId="4F101906">
      <w:pPr>
        <w:widowControl/>
        <w:autoSpaceDE/>
        <w:autoSpaceDN/>
        <w:adjustRightInd/>
        <w:rPr>
          <w:rFonts w:ascii="仿宋_GB2312" w:eastAsia="仿宋_GB2312"/>
          <w:b/>
          <w:kern w:val="2"/>
          <w:sz w:val="28"/>
          <w:szCs w:val="28"/>
        </w:rPr>
      </w:pPr>
    </w:p>
    <w:p w14:paraId="5957E6CA">
      <w:pPr>
        <w:autoSpaceDE/>
        <w:autoSpaceDN/>
        <w:adjustRightInd/>
        <w:jc w:val="center"/>
        <w:outlineLvl w:val="2"/>
        <w:rPr>
          <w:rFonts w:ascii="仿宋_GB2312" w:eastAsia="仿宋_GB2312"/>
          <w:b/>
          <w:kern w:val="2"/>
          <w:sz w:val="28"/>
          <w:szCs w:val="28"/>
        </w:rPr>
      </w:pPr>
      <w:r>
        <w:rPr>
          <w:rFonts w:hint="eastAsia" w:ascii="仿宋_GB2312" w:eastAsia="仿宋_GB2312"/>
          <w:b/>
          <w:kern w:val="2"/>
          <w:sz w:val="28"/>
          <w:szCs w:val="28"/>
        </w:rPr>
        <w:t>报价一览表</w:t>
      </w:r>
    </w:p>
    <w:p w14:paraId="5C8DF47D">
      <w:pPr>
        <w:snapToGrid w:val="0"/>
        <w:jc w:val="center"/>
        <w:rPr>
          <w:b/>
          <w:sz w:val="24"/>
        </w:rPr>
      </w:pPr>
      <w:r>
        <w:rPr>
          <w:rFonts w:hint="eastAsia"/>
          <w:b/>
          <w:sz w:val="24"/>
        </w:rPr>
        <w:t>（首次报价）</w:t>
      </w:r>
    </w:p>
    <w:p w14:paraId="21999BDB">
      <w:pPr>
        <w:rPr>
          <w:rFonts w:hint="eastAsia" w:ascii="宋体" w:hAnsi="宋体" w:eastAsia="宋体"/>
          <w:lang w:eastAsia="zh-CN"/>
        </w:rPr>
      </w:pPr>
      <w:r>
        <w:rPr>
          <w:rFonts w:hint="eastAsia" w:ascii="宋体" w:hAnsi="宋体"/>
        </w:rPr>
        <w:t>项目编号：</w:t>
      </w:r>
      <w:r>
        <w:rPr>
          <w:rFonts w:hint="eastAsia" w:ascii="宋体" w:hAnsi="宋体"/>
          <w:lang w:eastAsia="zh-CN"/>
        </w:rPr>
        <w:t>GDQSST2024JC12002S</w:t>
      </w:r>
    </w:p>
    <w:tbl>
      <w:tblPr>
        <w:tblStyle w:val="13"/>
        <w:tblW w:w="10017"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43"/>
        <w:gridCol w:w="2125"/>
        <w:gridCol w:w="683"/>
        <w:gridCol w:w="1833"/>
        <w:gridCol w:w="1196"/>
        <w:gridCol w:w="2437"/>
      </w:tblGrid>
      <w:tr w14:paraId="1FD549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1743" w:type="dxa"/>
            <w:shd w:val="clear" w:color="auto" w:fill="auto"/>
            <w:vAlign w:val="center"/>
          </w:tcPr>
          <w:p w14:paraId="391EE228">
            <w:pPr>
              <w:snapToGrid w:val="0"/>
              <w:jc w:val="center"/>
              <w:rPr>
                <w:rFonts w:hint="eastAsia" w:ascii="宋体" w:eastAsia="宋体"/>
                <w:b/>
                <w:lang w:val="en-US" w:eastAsia="zh-CN"/>
              </w:rPr>
            </w:pPr>
            <w:r>
              <w:rPr>
                <w:rFonts w:hint="eastAsia" w:ascii="宋体"/>
                <w:b/>
                <w:lang w:val="en-US" w:eastAsia="zh-CN"/>
              </w:rPr>
              <w:t>项目名称</w:t>
            </w:r>
          </w:p>
        </w:tc>
        <w:tc>
          <w:tcPr>
            <w:tcW w:w="2125" w:type="dxa"/>
            <w:shd w:val="clear" w:color="auto" w:fill="auto"/>
            <w:vAlign w:val="center"/>
          </w:tcPr>
          <w:p w14:paraId="435F220E">
            <w:pPr>
              <w:snapToGrid w:val="0"/>
              <w:jc w:val="center"/>
              <w:rPr>
                <w:rFonts w:ascii="宋体"/>
                <w:b/>
              </w:rPr>
            </w:pPr>
            <w:r>
              <w:rPr>
                <w:rFonts w:hint="eastAsia" w:ascii="宋体"/>
                <w:b/>
              </w:rPr>
              <w:t>采购内容</w:t>
            </w:r>
          </w:p>
        </w:tc>
        <w:tc>
          <w:tcPr>
            <w:tcW w:w="683" w:type="dxa"/>
            <w:shd w:val="clear" w:color="auto" w:fill="auto"/>
            <w:vAlign w:val="center"/>
          </w:tcPr>
          <w:p w14:paraId="495618AA">
            <w:pPr>
              <w:snapToGrid w:val="0"/>
              <w:jc w:val="center"/>
              <w:rPr>
                <w:rFonts w:ascii="宋体"/>
                <w:b/>
              </w:rPr>
            </w:pPr>
            <w:r>
              <w:rPr>
                <w:rFonts w:hint="eastAsia" w:ascii="宋体"/>
                <w:b/>
              </w:rPr>
              <w:t>数量</w:t>
            </w:r>
          </w:p>
        </w:tc>
        <w:tc>
          <w:tcPr>
            <w:tcW w:w="1833" w:type="dxa"/>
            <w:shd w:val="clear" w:color="auto" w:fill="auto"/>
            <w:vAlign w:val="center"/>
          </w:tcPr>
          <w:p w14:paraId="2A4046D5">
            <w:pPr>
              <w:snapToGrid w:val="0"/>
              <w:jc w:val="center"/>
              <w:rPr>
                <w:rFonts w:ascii="宋体"/>
                <w:b/>
              </w:rPr>
            </w:pPr>
            <w:r>
              <w:rPr>
                <w:rFonts w:hint="eastAsia" w:ascii="宋体"/>
                <w:b/>
              </w:rPr>
              <w:t>磋商总报价</w:t>
            </w:r>
          </w:p>
          <w:p w14:paraId="5A715EFE">
            <w:pPr>
              <w:snapToGrid w:val="0"/>
              <w:jc w:val="center"/>
              <w:rPr>
                <w:rFonts w:ascii="宋体"/>
                <w:b/>
              </w:rPr>
            </w:pPr>
            <w:r>
              <w:rPr>
                <w:rFonts w:hint="eastAsia" w:ascii="宋体"/>
                <w:b/>
              </w:rPr>
              <w:t>（人民币 元）</w:t>
            </w:r>
          </w:p>
        </w:tc>
        <w:tc>
          <w:tcPr>
            <w:tcW w:w="1196" w:type="dxa"/>
            <w:shd w:val="clear" w:color="auto" w:fill="auto"/>
            <w:vAlign w:val="center"/>
          </w:tcPr>
          <w:p w14:paraId="2B4BCE2F">
            <w:pPr>
              <w:snapToGrid w:val="0"/>
              <w:jc w:val="center"/>
              <w:rPr>
                <w:rFonts w:ascii="宋体"/>
                <w:b/>
              </w:rPr>
            </w:pPr>
            <w:r>
              <w:rPr>
                <w:rFonts w:hint="eastAsia" w:ascii="宋体"/>
                <w:b/>
              </w:rPr>
              <w:t>报价下浮率</w:t>
            </w:r>
          </w:p>
        </w:tc>
        <w:tc>
          <w:tcPr>
            <w:tcW w:w="2437" w:type="dxa"/>
            <w:shd w:val="clear" w:color="auto" w:fill="auto"/>
            <w:vAlign w:val="center"/>
          </w:tcPr>
          <w:p w14:paraId="0EA9DC20">
            <w:pPr>
              <w:snapToGrid w:val="0"/>
              <w:jc w:val="center"/>
              <w:rPr>
                <w:rFonts w:ascii="宋体"/>
                <w:b/>
              </w:rPr>
            </w:pPr>
            <w:r>
              <w:rPr>
                <w:rFonts w:hint="eastAsia" w:ascii="宋体"/>
                <w:b/>
              </w:rPr>
              <w:t>完成期</w:t>
            </w:r>
          </w:p>
        </w:tc>
      </w:tr>
      <w:tr w14:paraId="043F58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087" w:hRule="atLeast"/>
        </w:trPr>
        <w:tc>
          <w:tcPr>
            <w:tcW w:w="1743" w:type="dxa"/>
            <w:shd w:val="clear" w:color="auto" w:fill="auto"/>
            <w:vAlign w:val="center"/>
          </w:tcPr>
          <w:p w14:paraId="0A2A26AF">
            <w:pPr>
              <w:jc w:val="center"/>
              <w:rPr>
                <w:rFonts w:hint="eastAsia" w:ascii="宋体" w:hAnsi="宋体"/>
                <w:bCs/>
                <w:lang w:eastAsia="zh-CN"/>
              </w:rPr>
            </w:pPr>
            <w:r>
              <w:rPr>
                <w:rFonts w:hint="eastAsia" w:ascii="宋体"/>
                <w:b/>
                <w:bCs/>
                <w:szCs w:val="20"/>
                <w:lang w:eastAsia="zh-CN"/>
              </w:rPr>
              <w:t>南澳县博物馆消防维护修理及监控设备合并扩容项目</w:t>
            </w:r>
          </w:p>
        </w:tc>
        <w:tc>
          <w:tcPr>
            <w:tcW w:w="2125" w:type="dxa"/>
            <w:shd w:val="clear" w:color="auto" w:fill="auto"/>
            <w:vAlign w:val="center"/>
          </w:tcPr>
          <w:p w14:paraId="27A36EDE">
            <w:pPr>
              <w:jc w:val="center"/>
              <w:rPr>
                <w:rFonts w:hint="eastAsia" w:ascii="宋体" w:hAnsi="宋体" w:eastAsia="宋体"/>
                <w:lang w:eastAsia="zh-CN"/>
              </w:rPr>
            </w:pPr>
            <w:r>
              <w:rPr>
                <w:rFonts w:hint="eastAsia" w:ascii="宋体"/>
                <w:b/>
                <w:bCs/>
                <w:szCs w:val="20"/>
                <w:lang w:eastAsia="zh-CN"/>
              </w:rPr>
              <w:t>南澳县博物馆消防维护修理及监控设备合并扩容项目采购</w:t>
            </w:r>
          </w:p>
        </w:tc>
        <w:tc>
          <w:tcPr>
            <w:tcW w:w="683" w:type="dxa"/>
            <w:shd w:val="clear" w:color="auto" w:fill="auto"/>
            <w:vAlign w:val="center"/>
          </w:tcPr>
          <w:p w14:paraId="3904639B">
            <w:pPr>
              <w:jc w:val="center"/>
              <w:rPr>
                <w:rFonts w:hint="eastAsia" w:ascii="宋体" w:hAnsi="宋体"/>
              </w:rPr>
            </w:pPr>
            <w:r>
              <w:rPr>
                <w:rFonts w:hint="eastAsia" w:ascii="宋体" w:hAnsi="宋体"/>
              </w:rPr>
              <w:t>1项</w:t>
            </w:r>
          </w:p>
          <w:p w14:paraId="65ADC63C">
            <w:pPr>
              <w:jc w:val="center"/>
              <w:rPr>
                <w:rFonts w:hint="eastAsia" w:ascii="宋体" w:hAnsi="Times New Roman" w:eastAsia="宋体" w:cs="Times New Roman"/>
                <w:bCs/>
                <w:sz w:val="21"/>
                <w:szCs w:val="21"/>
                <w:highlight w:val="none"/>
                <w:lang w:val="en-US" w:eastAsia="zh-CN" w:bidi="ar-SA"/>
              </w:rPr>
            </w:pPr>
          </w:p>
        </w:tc>
        <w:tc>
          <w:tcPr>
            <w:tcW w:w="1833" w:type="dxa"/>
            <w:shd w:val="clear" w:color="auto" w:fill="auto"/>
            <w:vAlign w:val="center"/>
          </w:tcPr>
          <w:p w14:paraId="42AB0F49">
            <w:pPr>
              <w:snapToGrid w:val="0"/>
              <w:rPr>
                <w:rFonts w:ascii="宋体"/>
                <w:bCs/>
              </w:rPr>
            </w:pPr>
            <w:r>
              <w:rPr>
                <w:rFonts w:hint="eastAsia" w:ascii="宋体"/>
                <w:bCs/>
              </w:rPr>
              <w:t>小写：RMB</w:t>
            </w:r>
          </w:p>
          <w:p w14:paraId="3F89787A">
            <w:pPr>
              <w:snapToGrid w:val="0"/>
              <w:rPr>
                <w:rFonts w:ascii="宋体"/>
                <w:bCs/>
                <w:u w:val="single"/>
              </w:rPr>
            </w:pPr>
            <w:r>
              <w:rPr>
                <w:rFonts w:hint="eastAsia" w:ascii="宋体"/>
                <w:bCs/>
              </w:rPr>
              <w:t>大写：</w:t>
            </w:r>
          </w:p>
          <w:p w14:paraId="3982D765">
            <w:pPr>
              <w:snapToGrid w:val="0"/>
              <w:rPr>
                <w:rFonts w:hint="eastAsia" w:ascii="宋体" w:hAnsi="宋体" w:eastAsia="宋体"/>
                <w:lang w:eastAsia="zh-CN"/>
              </w:rPr>
            </w:pPr>
            <w:r>
              <w:rPr>
                <w:rFonts w:hint="eastAsia"/>
              </w:rPr>
              <w:t>其中：</w:t>
            </w:r>
            <w:r>
              <w:rPr>
                <w:rFonts w:hint="eastAsia" w:ascii="宋体" w:hAnsi="宋体"/>
              </w:rPr>
              <w:t>绿色施工安全防护措施费为</w:t>
            </w:r>
            <w:r>
              <w:rPr>
                <w:rFonts w:hint="eastAsia" w:ascii="宋体" w:hAnsi="宋体"/>
                <w:u w:val="single"/>
                <w:lang w:val="en-US" w:eastAsia="zh-CN"/>
              </w:rPr>
              <w:t>10,862.96</w:t>
            </w:r>
            <w:r>
              <w:rPr>
                <w:rFonts w:hint="eastAsia" w:ascii="宋体" w:hAnsi="宋体"/>
              </w:rPr>
              <w:t>元</w:t>
            </w:r>
            <w:r>
              <w:rPr>
                <w:rFonts w:hint="eastAsia" w:ascii="宋体" w:hAnsi="宋体"/>
                <w:lang w:eastAsia="zh-CN"/>
              </w:rPr>
              <w:t>，</w:t>
            </w:r>
            <w:r>
              <w:rPr>
                <w:rFonts w:hint="eastAsia" w:ascii="宋体" w:hAnsi="宋体"/>
                <w:snapToGrid/>
                <w:color w:val="auto"/>
                <w:spacing w:val="0"/>
                <w:kern w:val="2"/>
                <w:sz w:val="21"/>
                <w:highlight w:val="none"/>
                <w:lang w:val="en-US" w:eastAsia="zh-CN"/>
              </w:rPr>
              <w:t>暂估价113,180.00元</w:t>
            </w:r>
          </w:p>
        </w:tc>
        <w:tc>
          <w:tcPr>
            <w:tcW w:w="1196" w:type="dxa"/>
            <w:shd w:val="clear" w:color="auto" w:fill="auto"/>
            <w:vAlign w:val="center"/>
          </w:tcPr>
          <w:p w14:paraId="25EAB6ED">
            <w:pPr>
              <w:pStyle w:val="22"/>
              <w:spacing w:line="240" w:lineRule="auto"/>
              <w:ind w:left="-44" w:leftChars="-21" w:right="-69" w:rightChars="-33"/>
              <w:rPr>
                <w:rFonts w:ascii="宋体" w:hAnsi="宋体"/>
                <w:snapToGrid/>
                <w:spacing w:val="0"/>
                <w:kern w:val="2"/>
                <w:sz w:val="21"/>
              </w:rPr>
            </w:pPr>
            <w:r>
              <w:rPr>
                <w:rFonts w:hint="eastAsia" w:ascii="宋体" w:hAnsi="宋体"/>
                <w:snapToGrid/>
                <w:spacing w:val="0"/>
                <w:kern w:val="2"/>
                <w:sz w:val="21"/>
              </w:rPr>
              <w:t>%</w:t>
            </w:r>
          </w:p>
        </w:tc>
        <w:tc>
          <w:tcPr>
            <w:tcW w:w="2437" w:type="dxa"/>
            <w:shd w:val="clear" w:color="auto" w:fill="auto"/>
            <w:vAlign w:val="center"/>
          </w:tcPr>
          <w:p w14:paraId="5DEBF31B">
            <w:pPr>
              <w:pStyle w:val="22"/>
              <w:spacing w:line="240" w:lineRule="auto"/>
              <w:ind w:left="-44" w:leftChars="-21" w:right="-69" w:rightChars="-33"/>
              <w:rPr>
                <w:rFonts w:hint="eastAsia" w:ascii="宋体" w:eastAsia="宋体"/>
                <w:bCs/>
                <w:sz w:val="21"/>
                <w:lang w:eastAsia="zh-CN"/>
              </w:rPr>
            </w:pPr>
            <w:r>
              <w:rPr>
                <w:rFonts w:hint="eastAsia" w:ascii="宋体" w:hAnsi="宋体"/>
                <w:snapToGrid/>
                <w:spacing w:val="0"/>
                <w:kern w:val="2"/>
                <w:sz w:val="21"/>
                <w:lang w:eastAsia="zh-CN"/>
              </w:rPr>
              <w:t>自合同签订之日起30个日历天内内</w:t>
            </w:r>
          </w:p>
        </w:tc>
      </w:tr>
    </w:tbl>
    <w:p w14:paraId="4CC41B5E">
      <w:pPr>
        <w:spacing w:line="440" w:lineRule="exact"/>
        <w:rPr>
          <w:rFonts w:ascii="宋体" w:hAnsi="宋体"/>
          <w:b/>
          <w:bCs/>
        </w:rPr>
      </w:pPr>
    </w:p>
    <w:p w14:paraId="00EF8907">
      <w:pPr>
        <w:spacing w:line="440" w:lineRule="exact"/>
        <w:rPr>
          <w:spacing w:val="4"/>
        </w:rPr>
      </w:pPr>
      <w:r>
        <w:rPr>
          <w:rFonts w:hint="eastAsia"/>
          <w:spacing w:val="4"/>
        </w:rPr>
        <w:t>响应供应商名称（单位盖公章）：</w:t>
      </w:r>
    </w:p>
    <w:p w14:paraId="57CFFCFB">
      <w:pPr>
        <w:spacing w:line="440" w:lineRule="exact"/>
        <w:rPr>
          <w:rFonts w:hint="eastAsia"/>
          <w:spacing w:val="4"/>
        </w:rPr>
      </w:pPr>
      <w:r>
        <w:rPr>
          <w:rFonts w:hint="eastAsia"/>
          <w:spacing w:val="4"/>
        </w:rPr>
        <w:t>法定代表人或</w:t>
      </w:r>
      <w:r>
        <w:rPr>
          <w:rFonts w:hint="eastAsia" w:ascii="宋体" w:hAnsi="宋体"/>
        </w:rPr>
        <w:t>响应供应商</w:t>
      </w:r>
      <w:r>
        <w:rPr>
          <w:rFonts w:hint="eastAsia"/>
          <w:spacing w:val="4"/>
        </w:rPr>
        <w:t>授权代表（签署本人姓名或印盖本人姓名章）：</w:t>
      </w:r>
    </w:p>
    <w:p w14:paraId="23CBDFF7">
      <w:pPr>
        <w:spacing w:line="440" w:lineRule="exact"/>
        <w:rPr>
          <w:spacing w:val="4"/>
          <w:u w:val="single"/>
        </w:rPr>
      </w:pPr>
      <w:r>
        <w:rPr>
          <w:rFonts w:hint="eastAsia"/>
          <w:spacing w:val="4"/>
        </w:rPr>
        <w:t>日期：</w:t>
      </w:r>
    </w:p>
    <w:p w14:paraId="3385C562">
      <w:pPr>
        <w:spacing w:line="400" w:lineRule="exact"/>
        <w:rPr>
          <w:rFonts w:ascii="宋体" w:hAnsi="宋体"/>
          <w:b/>
          <w:bCs/>
        </w:rPr>
      </w:pPr>
      <w:r>
        <w:rPr>
          <w:rFonts w:hint="eastAsia" w:ascii="宋体" w:hAnsi="宋体"/>
          <w:b/>
          <w:bCs/>
        </w:rPr>
        <w:t>备注：</w:t>
      </w:r>
    </w:p>
    <w:p w14:paraId="47D53767">
      <w:pPr>
        <w:numPr>
          <w:ilvl w:val="0"/>
          <w:numId w:val="24"/>
        </w:numPr>
        <w:autoSpaceDE/>
        <w:autoSpaceDN/>
        <w:snapToGrid w:val="0"/>
        <w:spacing w:line="360" w:lineRule="auto"/>
        <w:jc w:val="both"/>
        <w:rPr>
          <w:rFonts w:ascii="宋体" w:hAnsi="宋体"/>
        </w:rPr>
      </w:pPr>
      <w:r>
        <w:rPr>
          <w:rFonts w:hint="eastAsia" w:ascii="宋体" w:hAnsi="宋体"/>
          <w:b/>
        </w:rPr>
        <w:t>温馨提示：</w:t>
      </w:r>
      <w:r>
        <w:rPr>
          <w:rFonts w:hint="eastAsia" w:ascii="宋体" w:hAnsi="宋体"/>
        </w:rPr>
        <w:t>大写金额用中文汉字，如壹、贰、叁、肆、伍、陆、柒、捌、玖、拾、佰、仟、万、亿、元、角、分、零、整（正）等。</w:t>
      </w:r>
    </w:p>
    <w:p w14:paraId="3FB0D76C">
      <w:pPr>
        <w:numPr>
          <w:ilvl w:val="0"/>
          <w:numId w:val="24"/>
        </w:numPr>
        <w:autoSpaceDE/>
        <w:autoSpaceDN/>
        <w:snapToGrid w:val="0"/>
        <w:spacing w:line="360" w:lineRule="auto"/>
        <w:jc w:val="both"/>
        <w:rPr>
          <w:rFonts w:ascii="宋体" w:hAnsi="宋体"/>
        </w:rPr>
      </w:pPr>
      <w:r>
        <w:rPr>
          <w:rFonts w:hint="eastAsia" w:ascii="宋体" w:hAnsi="宋体"/>
        </w:rPr>
        <w:t>投标报价的小数点后保留两位有效数。</w:t>
      </w:r>
    </w:p>
    <w:p w14:paraId="7A65020B">
      <w:pPr>
        <w:numPr>
          <w:ilvl w:val="0"/>
          <w:numId w:val="24"/>
        </w:numPr>
        <w:autoSpaceDE/>
        <w:autoSpaceDN/>
        <w:snapToGrid w:val="0"/>
        <w:spacing w:line="360" w:lineRule="auto"/>
        <w:jc w:val="both"/>
        <w:rPr>
          <w:rFonts w:ascii="宋体" w:hAnsi="宋体"/>
        </w:rPr>
      </w:pPr>
      <w:r>
        <w:rPr>
          <w:rFonts w:ascii="宋体" w:hAnsi="宋体"/>
        </w:rPr>
        <w:t>此表须附在正、副本的响应文件中</w:t>
      </w:r>
      <w:r>
        <w:rPr>
          <w:rFonts w:hint="eastAsia" w:ascii="宋体" w:hAnsi="宋体"/>
        </w:rPr>
        <w:t>。</w:t>
      </w:r>
    </w:p>
    <w:p w14:paraId="2492042C">
      <w:pPr>
        <w:numPr>
          <w:ilvl w:val="0"/>
          <w:numId w:val="24"/>
        </w:numPr>
        <w:autoSpaceDE/>
        <w:autoSpaceDN/>
        <w:snapToGrid w:val="0"/>
        <w:spacing w:line="360" w:lineRule="auto"/>
        <w:jc w:val="both"/>
        <w:rPr>
          <w:rFonts w:ascii="宋体" w:hAnsi="宋体"/>
        </w:rPr>
      </w:pPr>
      <w:r>
        <w:rPr>
          <w:rFonts w:hint="eastAsia" w:ascii="宋体" w:hAnsi="宋体"/>
        </w:rPr>
        <w:t>磋商报价要求具体见第七章“磋商报价”要求。</w:t>
      </w:r>
    </w:p>
    <w:p w14:paraId="59266276">
      <w:pPr>
        <w:numPr>
          <w:ilvl w:val="0"/>
          <w:numId w:val="24"/>
        </w:numPr>
        <w:autoSpaceDE/>
        <w:autoSpaceDN/>
        <w:snapToGrid w:val="0"/>
        <w:spacing w:line="360" w:lineRule="auto"/>
        <w:jc w:val="both"/>
        <w:rPr>
          <w:rFonts w:ascii="宋体" w:hAnsi="宋体"/>
        </w:rPr>
      </w:pPr>
      <w:r>
        <w:rPr>
          <w:rFonts w:hint="eastAsia"/>
        </w:rPr>
        <w:t>所有价格均以人民币作为货币单位填写及计算。</w:t>
      </w:r>
    </w:p>
    <w:p w14:paraId="7E851A58">
      <w:pPr>
        <w:numPr>
          <w:ilvl w:val="0"/>
          <w:numId w:val="24"/>
        </w:numPr>
        <w:autoSpaceDE/>
        <w:autoSpaceDN/>
        <w:snapToGrid w:val="0"/>
        <w:spacing w:line="360" w:lineRule="auto"/>
        <w:jc w:val="both"/>
        <w:rPr>
          <w:rFonts w:ascii="宋体" w:hAnsi="宋体"/>
        </w:rPr>
      </w:pPr>
      <w:r>
        <w:rPr>
          <w:rFonts w:hint="eastAsia" w:ascii="宋体"/>
        </w:rPr>
        <w:t>磋商</w:t>
      </w:r>
      <w:r>
        <w:rPr>
          <w:rFonts w:hint="eastAsia"/>
        </w:rPr>
        <w:t>总报价是分部分项工程费、措施项目费、其他项目费、规费和税金之和。</w:t>
      </w:r>
    </w:p>
    <w:p w14:paraId="45091571">
      <w:pPr>
        <w:numPr>
          <w:ilvl w:val="0"/>
          <w:numId w:val="24"/>
        </w:numPr>
        <w:tabs>
          <w:tab w:val="left" w:pos="360"/>
        </w:tabs>
        <w:autoSpaceDE/>
        <w:autoSpaceDN/>
        <w:snapToGrid w:val="0"/>
        <w:spacing w:line="360" w:lineRule="auto"/>
        <w:jc w:val="both"/>
      </w:pPr>
      <w:r>
        <w:rPr>
          <w:rFonts w:hint="eastAsia"/>
        </w:rPr>
        <w:t>各响应供应商可自行保留一份《报价一览表》（首次报价），以便磋商报价时参考用。</w:t>
      </w:r>
    </w:p>
    <w:p w14:paraId="4AF2A58B">
      <w:pPr>
        <w:autoSpaceDE/>
        <w:autoSpaceDN/>
        <w:adjustRightInd/>
        <w:jc w:val="center"/>
        <w:rPr>
          <w:b/>
          <w:u w:val="double"/>
        </w:rPr>
      </w:pPr>
    </w:p>
    <w:p w14:paraId="778E1C61">
      <w:pPr>
        <w:widowControl/>
        <w:autoSpaceDE/>
        <w:autoSpaceDN/>
        <w:adjustRightInd/>
        <w:rPr>
          <w:rFonts w:ascii="仿宋_GB2312" w:eastAsia="仿宋_GB2312"/>
          <w:b/>
          <w:kern w:val="2"/>
          <w:sz w:val="28"/>
          <w:szCs w:val="28"/>
        </w:rPr>
      </w:pPr>
    </w:p>
    <w:p w14:paraId="3D43CC3C">
      <w:pPr>
        <w:widowControl/>
        <w:autoSpaceDE/>
        <w:autoSpaceDN/>
        <w:adjustRightInd/>
        <w:rPr>
          <w:spacing w:val="4"/>
          <w:u w:val="single"/>
        </w:rPr>
      </w:pPr>
      <w:r>
        <w:rPr>
          <w:spacing w:val="4"/>
        </w:rPr>
        <w:br w:type="page"/>
      </w:r>
      <w:bookmarkStart w:id="72" w:name="_Toc416771375"/>
      <w:bookmarkStart w:id="73" w:name="_Toc410736188"/>
      <w:bookmarkStart w:id="74" w:name="_Toc416770265"/>
      <w:bookmarkStart w:id="75" w:name="_Toc410738987"/>
    </w:p>
    <w:p w14:paraId="6F3BFDD2">
      <w:pPr>
        <w:autoSpaceDE/>
        <w:autoSpaceDN/>
        <w:adjustRightInd/>
        <w:snapToGrid w:val="0"/>
        <w:spacing w:line="360" w:lineRule="auto"/>
        <w:ind w:left="780"/>
        <w:jc w:val="center"/>
        <w:rPr>
          <w:rFonts w:ascii="黑体" w:hAnsi="黑体" w:eastAsia="黑体"/>
          <w:b/>
          <w:spacing w:val="4"/>
          <w:sz w:val="24"/>
          <w:szCs w:val="24"/>
        </w:rPr>
      </w:pPr>
      <w:r>
        <w:rPr>
          <w:rFonts w:hint="eastAsia" w:ascii="黑体" w:hAnsi="黑体" w:eastAsia="黑体"/>
          <w:sz w:val="28"/>
          <w:szCs w:val="28"/>
        </w:rPr>
        <w:t>（如响应供应商不属于</w:t>
      </w:r>
      <w:r>
        <w:rPr>
          <w:rFonts w:hint="eastAsia" w:ascii="黑体" w:hAnsi="黑体" w:eastAsia="黑体"/>
          <w:sz w:val="28"/>
          <w:szCs w:val="28"/>
          <w:lang w:eastAsia="zh-CN"/>
        </w:rPr>
        <w:t>中小</w:t>
      </w:r>
      <w:r>
        <w:rPr>
          <w:rFonts w:hint="eastAsia" w:ascii="黑体" w:hAnsi="黑体" w:eastAsia="黑体"/>
          <w:sz w:val="28"/>
          <w:szCs w:val="28"/>
        </w:rPr>
        <w:t>企业无须提供）</w:t>
      </w:r>
    </w:p>
    <w:p w14:paraId="357AFEB6">
      <w:pPr>
        <w:autoSpaceDE/>
        <w:autoSpaceDN/>
        <w:adjustRightInd/>
        <w:spacing w:afterLines="50" w:line="360" w:lineRule="auto"/>
        <w:jc w:val="center"/>
        <w:outlineLvl w:val="2"/>
        <w:rPr>
          <w:rFonts w:ascii="仿宋_GB2312" w:eastAsia="仿宋_GB2312"/>
          <w:b/>
          <w:kern w:val="2"/>
          <w:sz w:val="28"/>
          <w:szCs w:val="28"/>
        </w:rPr>
      </w:pPr>
      <w:bookmarkStart w:id="76" w:name="_Toc435514875"/>
      <w:bookmarkStart w:id="77" w:name="_Toc435515315"/>
      <w:r>
        <w:rPr>
          <w:rFonts w:hint="eastAsia" w:ascii="仿宋_GB2312" w:eastAsia="仿宋_GB2312"/>
          <w:b/>
          <w:kern w:val="2"/>
          <w:sz w:val="28"/>
          <w:szCs w:val="28"/>
        </w:rPr>
        <w:t>中小企业声明函</w:t>
      </w:r>
      <w:bookmarkEnd w:id="76"/>
      <w:bookmarkEnd w:id="77"/>
    </w:p>
    <w:p w14:paraId="4D1B9064">
      <w:pPr>
        <w:spacing w:line="360" w:lineRule="auto"/>
        <w:jc w:val="center"/>
        <w:rPr>
          <w:rFonts w:ascii="宋体" w:hAnsi="宋体"/>
          <w:b/>
        </w:rPr>
      </w:pPr>
      <w:r>
        <w:rPr>
          <w:rFonts w:hint="eastAsia" w:ascii="宋体" w:hAnsi="宋体"/>
          <w:b/>
        </w:rPr>
        <w:t>（投标供应商提交本函，应明确企业类型，否则评审时不能享受相应的价格扣除）</w:t>
      </w:r>
    </w:p>
    <w:p w14:paraId="0406C073">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本公司（联合体）郑重声明，根据《政府采购促进中小企业发展管理办法》（财库﹝2020﹞46 号）的规定，本公司（联合体）参加</w:t>
      </w:r>
      <w:r>
        <w:rPr>
          <w:rFonts w:hint="eastAsia" w:ascii="宋体" w:hAnsi="宋体" w:eastAsia="宋体" w:cs="宋体"/>
          <w:sz w:val="21"/>
          <w:szCs w:val="21"/>
          <w:u w:val="single"/>
        </w:rPr>
        <w:t>（单位名称）</w:t>
      </w:r>
      <w:r>
        <w:rPr>
          <w:rFonts w:hint="eastAsia" w:ascii="宋体" w:hAnsi="宋体" w:eastAsia="宋体" w:cs="宋体"/>
          <w:sz w:val="21"/>
          <w:szCs w:val="21"/>
        </w:rPr>
        <w:t>的</w:t>
      </w:r>
      <w:r>
        <w:rPr>
          <w:rFonts w:hint="eastAsia" w:ascii="宋体" w:hAnsi="宋体" w:eastAsia="宋体" w:cs="宋体"/>
          <w:sz w:val="21"/>
          <w:szCs w:val="21"/>
          <w:u w:val="single"/>
        </w:rPr>
        <w:t>（项目名称）</w:t>
      </w:r>
      <w:r>
        <w:rPr>
          <w:rFonts w:hint="eastAsia" w:ascii="宋体" w:hAnsi="宋体" w:eastAsia="宋体" w:cs="宋体"/>
          <w:sz w:val="21"/>
          <w:szCs w:val="21"/>
        </w:rPr>
        <w:t>采购活动，工程的施工单位全部为符合政策要求的中小企业（或者：服务全部由符合政策要求的中小企业承接）。相关企业（含联合体中的中小企业、签订分包意向协议的中小企业）的具体情况如下：</w:t>
      </w:r>
    </w:p>
    <w:p w14:paraId="0A3C8800">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 xml:space="preserve"> 1.（标的名称），属于（磋商文件中明确的所属行业）行业；承建（承接）企业为（企业名称），从业人员__________________人，营业收入为__________________万元，资产总额为__________________万元1，属于（中型企业、小型企业、微型企业）；</w:t>
      </w:r>
    </w:p>
    <w:p w14:paraId="4D3C8A9F">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 xml:space="preserve"> 2.（标的名称），属于（磋商文件中明确的所属行业）行业；承建（承接）企业为（企业名称），从业人员__________________人，营业收入为__________________万元，资产总额为__________________万元1，属于（中型企业、小型企业、微型企业）；</w:t>
      </w:r>
    </w:p>
    <w:p w14:paraId="427402C2">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w:t>
      </w:r>
    </w:p>
    <w:p w14:paraId="33D45A42">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以上企业，不属于大企业的分支机构，不存在控股股东为大企业的情形，也不存在与大企业的负责人为同一人的情形。</w:t>
      </w:r>
    </w:p>
    <w:p w14:paraId="522BDFB1">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本企业对上述声明内容的真实性负责。如有虚假，将依法承担相应责任。</w:t>
      </w:r>
    </w:p>
    <w:p w14:paraId="21D330A4">
      <w:pPr>
        <w:pStyle w:val="25"/>
        <w:spacing w:line="360" w:lineRule="auto"/>
        <w:jc w:val="right"/>
        <w:rPr>
          <w:rFonts w:hint="eastAsia" w:ascii="宋体" w:hAnsi="宋体" w:eastAsia="宋体" w:cs="宋体"/>
          <w:sz w:val="21"/>
          <w:szCs w:val="21"/>
        </w:rPr>
      </w:pPr>
      <w:r>
        <w:rPr>
          <w:rFonts w:hint="eastAsia" w:ascii="宋体" w:hAnsi="宋体" w:eastAsia="宋体" w:cs="宋体"/>
          <w:sz w:val="21"/>
          <w:szCs w:val="21"/>
        </w:rPr>
        <w:t xml:space="preserve"> 企业名称（盖章）：__________________</w:t>
      </w:r>
    </w:p>
    <w:p w14:paraId="202063AD">
      <w:pPr>
        <w:pStyle w:val="25"/>
        <w:spacing w:line="360" w:lineRule="auto"/>
        <w:jc w:val="right"/>
        <w:rPr>
          <w:rFonts w:hint="eastAsia" w:ascii="宋体" w:hAnsi="宋体" w:eastAsia="宋体" w:cs="宋体"/>
          <w:sz w:val="21"/>
          <w:szCs w:val="21"/>
        </w:rPr>
      </w:pPr>
      <w:r>
        <w:rPr>
          <w:rFonts w:hint="eastAsia" w:ascii="宋体" w:hAnsi="宋体" w:eastAsia="宋体" w:cs="宋体"/>
          <w:sz w:val="21"/>
          <w:szCs w:val="21"/>
        </w:rPr>
        <w:t xml:space="preserve"> 日  期：__________________</w:t>
      </w:r>
    </w:p>
    <w:p w14:paraId="4B9F5DCD">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1：从业人员、营业收入、资产总额填报上一年度数据，无上一年度数据的新成立企业可不填报。</w:t>
      </w:r>
    </w:p>
    <w:p w14:paraId="06072371">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2：供应商应当自行核实是否属于小微企业，并认真填写声明函，若有虚假将追究其责任。</w:t>
      </w:r>
    </w:p>
    <w:p w14:paraId="7D50BCD1">
      <w:pPr>
        <w:spacing w:line="360" w:lineRule="auto"/>
        <w:ind w:firstLine="420" w:firstLineChars="200"/>
        <w:jc w:val="center"/>
        <w:rPr>
          <w:rFonts w:ascii="宋体" w:hAnsi="宋体"/>
        </w:rPr>
      </w:pPr>
    </w:p>
    <w:bookmarkEnd w:id="72"/>
    <w:bookmarkEnd w:id="73"/>
    <w:bookmarkEnd w:id="74"/>
    <w:bookmarkEnd w:id="75"/>
    <w:p w14:paraId="5BEF071E">
      <w:pPr>
        <w:pStyle w:val="3"/>
        <w:adjustRightInd w:val="0"/>
        <w:snapToGrid w:val="0"/>
        <w:spacing w:beforeLines="50" w:afterLines="50" w:line="360" w:lineRule="auto"/>
        <w:jc w:val="center"/>
        <w:rPr>
          <w:b w:val="0"/>
        </w:rPr>
      </w:pPr>
    </w:p>
    <w:p w14:paraId="3C625008">
      <w:pPr>
        <w:widowControl/>
        <w:autoSpaceDE/>
        <w:autoSpaceDN/>
        <w:adjustRightInd/>
        <w:rPr>
          <w:rFonts w:ascii="Arial" w:hAnsi="Arial" w:eastAsia="黑体"/>
          <w:bCs/>
          <w:kern w:val="2"/>
          <w:sz w:val="32"/>
          <w:szCs w:val="32"/>
        </w:rPr>
      </w:pPr>
      <w:r>
        <w:rPr>
          <w:b/>
        </w:rPr>
        <w:br w:type="page"/>
      </w:r>
    </w:p>
    <w:p w14:paraId="547A4C09">
      <w:pPr>
        <w:pStyle w:val="3"/>
        <w:adjustRightInd w:val="0"/>
        <w:snapToGrid w:val="0"/>
        <w:spacing w:beforeLines="50" w:afterLines="50" w:line="360" w:lineRule="auto"/>
        <w:jc w:val="center"/>
        <w:rPr>
          <w:b w:val="0"/>
        </w:rPr>
      </w:pPr>
      <w:r>
        <w:rPr>
          <w:rFonts w:hint="eastAsia"/>
          <w:b w:val="0"/>
        </w:rPr>
        <w:t>（如响应供应商不属于监狱企业无须提供）</w:t>
      </w:r>
    </w:p>
    <w:p w14:paraId="015B8A76">
      <w:pPr>
        <w:pStyle w:val="3"/>
        <w:adjustRightInd w:val="0"/>
        <w:snapToGrid w:val="0"/>
        <w:spacing w:beforeLines="50" w:afterLines="50" w:line="360" w:lineRule="auto"/>
        <w:jc w:val="center"/>
        <w:rPr>
          <w:b w:val="0"/>
        </w:rPr>
      </w:pPr>
      <w:r>
        <w:rPr>
          <w:rFonts w:hint="eastAsia"/>
          <w:b w:val="0"/>
        </w:rPr>
        <w:t>监狱企业的证明文件</w:t>
      </w:r>
    </w:p>
    <w:p w14:paraId="29E2D0EB">
      <w:pPr>
        <w:spacing w:line="440" w:lineRule="exact"/>
      </w:pPr>
      <w:r>
        <w:rPr>
          <w:rFonts w:hint="eastAsia"/>
        </w:rPr>
        <w:t>说明：监狱企业参加政府采购活动时，应当提供由省级以上监狱管理局、戒毒管理局（含新疆生产建设兵团）出具的属于监狱企业的证明文件，并加盖响应供应商单位公章。</w:t>
      </w:r>
    </w:p>
    <w:p w14:paraId="3AA2BD50">
      <w:pPr>
        <w:spacing w:line="440" w:lineRule="exact"/>
        <w:rPr>
          <w:u w:val="single"/>
        </w:rPr>
      </w:pPr>
    </w:p>
    <w:p w14:paraId="017F63B3">
      <w:pPr>
        <w:spacing w:line="440" w:lineRule="exact"/>
        <w:rPr>
          <w:u w:val="single"/>
        </w:rPr>
      </w:pPr>
    </w:p>
    <w:p w14:paraId="2D824E17">
      <w:pPr>
        <w:pStyle w:val="3"/>
        <w:adjustRightInd w:val="0"/>
        <w:snapToGrid w:val="0"/>
        <w:spacing w:beforeLines="50" w:afterLines="50" w:line="360" w:lineRule="auto"/>
        <w:jc w:val="center"/>
        <w:rPr>
          <w:b w:val="0"/>
        </w:rPr>
      </w:pPr>
      <w:r>
        <w:rPr>
          <w:rFonts w:hint="eastAsia"/>
          <w:b w:val="0"/>
        </w:rPr>
        <w:t>（如响应供应商不属于残疾人福利性单位无须提供）</w:t>
      </w:r>
    </w:p>
    <w:p w14:paraId="366B3498">
      <w:pPr>
        <w:pStyle w:val="3"/>
        <w:adjustRightInd w:val="0"/>
        <w:snapToGrid w:val="0"/>
        <w:spacing w:beforeLines="50" w:afterLines="50" w:line="360" w:lineRule="auto"/>
        <w:jc w:val="center"/>
        <w:rPr>
          <w:b w:val="0"/>
        </w:rPr>
      </w:pPr>
      <w:bookmarkStart w:id="78" w:name="OLE_LINK13"/>
      <w:bookmarkStart w:id="79" w:name="OLE_LINK14"/>
      <w:r>
        <w:rPr>
          <w:rFonts w:hint="eastAsia"/>
          <w:b w:val="0"/>
        </w:rPr>
        <w:t>残疾人福利性单位声明函</w:t>
      </w:r>
    </w:p>
    <w:bookmarkEnd w:id="78"/>
    <w:bookmarkEnd w:id="79"/>
    <w:p w14:paraId="0B274AE0">
      <w:pPr>
        <w:spacing w:line="588" w:lineRule="exact"/>
        <w:ind w:firstLine="444" w:firstLineChars="200"/>
        <w:rPr>
          <w:rFonts w:ascii="宋体" w:hAnsi="宋体"/>
          <w:spacing w:val="6"/>
        </w:rPr>
      </w:pPr>
      <w:r>
        <w:rPr>
          <w:rFonts w:hint="eastAsia" w:ascii="宋体" w:hAnsi="宋体"/>
          <w:spacing w:val="6"/>
        </w:rPr>
        <w:t>本单位郑重声明，根据《财政部 民政部 中国残疾人联合会关于促进残疾人就业政府采购政策的通知》（财库</w:t>
      </w:r>
      <w:r>
        <w:rPr>
          <w:rFonts w:hint="eastAsia" w:ascii="宋体" w:hAnsi="宋体"/>
        </w:rPr>
        <w:t>〔2017〕 141</w:t>
      </w:r>
      <w:r>
        <w:rPr>
          <w:rFonts w:hint="eastAsia" w:ascii="宋体" w:hAnsi="宋体"/>
          <w:spacing w:val="6"/>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79CC4FDE">
      <w:pPr>
        <w:spacing w:line="588" w:lineRule="exact"/>
        <w:ind w:firstLine="444" w:firstLineChars="200"/>
        <w:rPr>
          <w:rFonts w:ascii="宋体" w:hAnsi="宋体"/>
          <w:spacing w:val="6"/>
        </w:rPr>
      </w:pPr>
      <w:r>
        <w:rPr>
          <w:rFonts w:hint="eastAsia" w:ascii="宋体" w:hAnsi="宋体"/>
          <w:spacing w:val="6"/>
        </w:rPr>
        <w:t>本单位对上述声明的真实性负责。如有虚假，将依法承担相应责任。</w:t>
      </w:r>
    </w:p>
    <w:p w14:paraId="662810C4">
      <w:pPr>
        <w:spacing w:line="588" w:lineRule="exact"/>
        <w:ind w:firstLine="444" w:firstLineChars="200"/>
        <w:rPr>
          <w:rFonts w:ascii="宋体" w:hAnsi="宋体"/>
          <w:spacing w:val="6"/>
        </w:rPr>
      </w:pPr>
    </w:p>
    <w:p w14:paraId="1052BD92">
      <w:pPr>
        <w:spacing w:line="588" w:lineRule="exact"/>
        <w:ind w:firstLine="444" w:firstLineChars="200"/>
        <w:rPr>
          <w:rFonts w:ascii="宋体" w:hAnsi="宋体"/>
          <w:spacing w:val="6"/>
        </w:rPr>
      </w:pPr>
    </w:p>
    <w:p w14:paraId="6DC95412">
      <w:pPr>
        <w:tabs>
          <w:tab w:val="left" w:pos="4860"/>
        </w:tabs>
        <w:spacing w:line="588" w:lineRule="exact"/>
        <w:ind w:right="1560" w:firstLine="444" w:firstLineChars="200"/>
        <w:rPr>
          <w:rFonts w:ascii="宋体" w:hAnsi="宋体"/>
          <w:spacing w:val="6"/>
        </w:rPr>
      </w:pPr>
      <w:r>
        <w:rPr>
          <w:rFonts w:hint="eastAsia" w:ascii="宋体" w:hAnsi="宋体"/>
          <w:spacing w:val="6"/>
        </w:rPr>
        <w:t>单位名称（盖章）：</w:t>
      </w:r>
    </w:p>
    <w:p w14:paraId="54957AFD">
      <w:pPr>
        <w:autoSpaceDE/>
        <w:autoSpaceDN/>
        <w:adjustRightInd/>
        <w:spacing w:afterLines="50"/>
        <w:outlineLvl w:val="2"/>
        <w:rPr>
          <w:rFonts w:ascii="仿宋_GB2312" w:eastAsia="仿宋_GB2312"/>
          <w:b/>
          <w:kern w:val="2"/>
          <w:sz w:val="28"/>
          <w:szCs w:val="28"/>
        </w:rPr>
      </w:pPr>
      <w:r>
        <w:rPr>
          <w:rFonts w:hint="eastAsia" w:ascii="宋体" w:hAnsi="宋体"/>
          <w:spacing w:val="6"/>
        </w:rPr>
        <w:t xml:space="preserve">    日  期：</w:t>
      </w:r>
    </w:p>
    <w:p w14:paraId="17A6DDFD">
      <w:pPr>
        <w:snapToGrid w:val="0"/>
        <w:spacing w:line="360" w:lineRule="auto"/>
        <w:jc w:val="center"/>
        <w:rPr>
          <w:rFonts w:ascii="宋体" w:hAnsi="宋体"/>
          <w:b/>
          <w:bCs/>
          <w:sz w:val="36"/>
          <w:szCs w:val="36"/>
        </w:rPr>
      </w:pPr>
    </w:p>
    <w:p w14:paraId="30E75399">
      <w:pPr>
        <w:snapToGrid w:val="0"/>
        <w:spacing w:line="360" w:lineRule="auto"/>
        <w:jc w:val="center"/>
        <w:rPr>
          <w:rFonts w:ascii="宋体" w:hAnsi="宋体"/>
          <w:b/>
          <w:bCs/>
          <w:sz w:val="36"/>
          <w:szCs w:val="36"/>
        </w:rPr>
      </w:pPr>
    </w:p>
    <w:p w14:paraId="5CF51257">
      <w:pPr>
        <w:snapToGrid w:val="0"/>
        <w:spacing w:line="360" w:lineRule="auto"/>
        <w:jc w:val="center"/>
        <w:rPr>
          <w:rFonts w:ascii="宋体" w:hAnsi="宋体"/>
          <w:b/>
          <w:bCs/>
          <w:sz w:val="36"/>
          <w:szCs w:val="36"/>
        </w:rPr>
      </w:pPr>
    </w:p>
    <w:p w14:paraId="28ABD8B8">
      <w:pPr>
        <w:snapToGrid w:val="0"/>
        <w:spacing w:line="360" w:lineRule="auto"/>
        <w:jc w:val="center"/>
        <w:rPr>
          <w:rFonts w:ascii="宋体" w:hAnsi="宋体"/>
          <w:b/>
          <w:bCs/>
          <w:sz w:val="36"/>
          <w:szCs w:val="36"/>
        </w:rPr>
      </w:pPr>
    </w:p>
    <w:p w14:paraId="014E2ADA">
      <w:pPr>
        <w:snapToGrid w:val="0"/>
        <w:spacing w:line="360" w:lineRule="auto"/>
        <w:jc w:val="center"/>
        <w:rPr>
          <w:rFonts w:ascii="宋体" w:hAnsi="宋体"/>
          <w:b/>
          <w:bCs/>
          <w:sz w:val="36"/>
          <w:szCs w:val="36"/>
        </w:rPr>
      </w:pPr>
    </w:p>
    <w:p w14:paraId="485EFCCA">
      <w:pPr>
        <w:pStyle w:val="17"/>
        <w:ind w:firstLine="420"/>
      </w:pPr>
    </w:p>
    <w:p w14:paraId="1D1BFB4C">
      <w:pPr>
        <w:snapToGrid w:val="0"/>
        <w:spacing w:line="360" w:lineRule="auto"/>
        <w:jc w:val="center"/>
        <w:rPr>
          <w:rFonts w:ascii="宋体" w:hAnsi="宋体"/>
          <w:b/>
          <w:bCs/>
          <w:sz w:val="36"/>
          <w:szCs w:val="36"/>
        </w:rPr>
      </w:pPr>
    </w:p>
    <w:p w14:paraId="010C8653">
      <w:pPr>
        <w:snapToGrid w:val="0"/>
        <w:spacing w:line="360" w:lineRule="auto"/>
        <w:jc w:val="center"/>
        <w:rPr>
          <w:rFonts w:ascii="黑体" w:hAnsi="黑体" w:eastAsia="黑体" w:cs="黑体"/>
          <w:b/>
          <w:bCs/>
          <w:sz w:val="32"/>
          <w:szCs w:val="32"/>
        </w:rPr>
      </w:pPr>
      <w:r>
        <w:rPr>
          <w:rFonts w:hint="eastAsia" w:ascii="黑体" w:hAnsi="黑体" w:eastAsia="黑体" w:cs="黑体"/>
          <w:b/>
          <w:bCs/>
          <w:sz w:val="32"/>
          <w:szCs w:val="32"/>
        </w:rPr>
        <w:t>政策适用性说明(如有)</w:t>
      </w:r>
    </w:p>
    <w:p w14:paraId="292DC7A9">
      <w:pPr>
        <w:spacing w:line="40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按照政府采购的有关政策要求，在本项目的技术方案中，我单位采用了符合政策的节能产品、环保标志产品，主要产品与核心技术介绍说明如下：</w:t>
      </w:r>
    </w:p>
    <w:tbl>
      <w:tblPr>
        <w:tblStyle w:val="13"/>
        <w:tblW w:w="9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2823"/>
        <w:gridCol w:w="2217"/>
        <w:gridCol w:w="1760"/>
        <w:gridCol w:w="1747"/>
      </w:tblGrid>
      <w:tr w14:paraId="16164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07" w:type="dxa"/>
            <w:vAlign w:val="center"/>
          </w:tcPr>
          <w:p w14:paraId="34E61F48">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类别</w:t>
            </w:r>
          </w:p>
        </w:tc>
        <w:tc>
          <w:tcPr>
            <w:tcW w:w="2823" w:type="dxa"/>
            <w:vAlign w:val="center"/>
          </w:tcPr>
          <w:p w14:paraId="792A40DC">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主要产品/技术名称</w:t>
            </w:r>
          </w:p>
          <w:p w14:paraId="3B40F0CC">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（规格型号、注册商标）</w:t>
            </w:r>
          </w:p>
        </w:tc>
        <w:tc>
          <w:tcPr>
            <w:tcW w:w="2217" w:type="dxa"/>
            <w:vAlign w:val="center"/>
          </w:tcPr>
          <w:p w14:paraId="7C12CE89">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制造商/开发商</w:t>
            </w:r>
          </w:p>
        </w:tc>
        <w:tc>
          <w:tcPr>
            <w:tcW w:w="1760" w:type="dxa"/>
            <w:vAlign w:val="center"/>
          </w:tcPr>
          <w:p w14:paraId="6FE7B382">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认证证书编号</w:t>
            </w:r>
          </w:p>
        </w:tc>
        <w:tc>
          <w:tcPr>
            <w:tcW w:w="1747" w:type="dxa"/>
            <w:vAlign w:val="center"/>
          </w:tcPr>
          <w:p w14:paraId="2158662B">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该产品报价占总报价比重</w:t>
            </w:r>
          </w:p>
          <w:p w14:paraId="185CA762">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（累计 %）</w:t>
            </w:r>
          </w:p>
        </w:tc>
      </w:tr>
      <w:tr w14:paraId="6A290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restart"/>
            <w:vAlign w:val="center"/>
          </w:tcPr>
          <w:p w14:paraId="2C385EBD">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节能</w:t>
            </w:r>
          </w:p>
          <w:p w14:paraId="51EFCC99">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产品</w:t>
            </w:r>
          </w:p>
        </w:tc>
        <w:tc>
          <w:tcPr>
            <w:tcW w:w="2823" w:type="dxa"/>
            <w:vAlign w:val="center"/>
          </w:tcPr>
          <w:p w14:paraId="4BB2D67C">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14:paraId="4AB4802B">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14:paraId="48FB080D">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14:paraId="1CA66F1B">
            <w:pPr>
              <w:tabs>
                <w:tab w:val="left" w:pos="1260"/>
              </w:tabs>
              <w:spacing w:line="320" w:lineRule="exact"/>
              <w:jc w:val="center"/>
              <w:rPr>
                <w:rFonts w:asciiTheme="minorEastAsia" w:hAnsiTheme="minorEastAsia" w:eastAsiaTheme="minorEastAsia" w:cstheme="minorEastAsia"/>
                <w:lang w:val="en-GB"/>
              </w:rPr>
            </w:pPr>
          </w:p>
        </w:tc>
      </w:tr>
      <w:tr w14:paraId="50F7E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vAlign w:val="center"/>
          </w:tcPr>
          <w:p w14:paraId="453D201C">
            <w:pPr>
              <w:tabs>
                <w:tab w:val="left" w:pos="1260"/>
              </w:tabs>
              <w:spacing w:line="320" w:lineRule="exact"/>
              <w:jc w:val="center"/>
              <w:rPr>
                <w:rFonts w:asciiTheme="minorEastAsia" w:hAnsiTheme="minorEastAsia" w:eastAsiaTheme="minorEastAsia" w:cstheme="minorEastAsia"/>
                <w:lang w:val="en-GB"/>
              </w:rPr>
            </w:pPr>
          </w:p>
        </w:tc>
        <w:tc>
          <w:tcPr>
            <w:tcW w:w="2823" w:type="dxa"/>
            <w:vAlign w:val="center"/>
          </w:tcPr>
          <w:p w14:paraId="708A83A4">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14:paraId="1060299F">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14:paraId="5A730474">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14:paraId="434799BB">
            <w:pPr>
              <w:tabs>
                <w:tab w:val="left" w:pos="1260"/>
              </w:tabs>
              <w:spacing w:line="320" w:lineRule="exact"/>
              <w:jc w:val="center"/>
              <w:rPr>
                <w:rFonts w:asciiTheme="minorEastAsia" w:hAnsiTheme="minorEastAsia" w:eastAsiaTheme="minorEastAsia" w:cstheme="minorEastAsia"/>
                <w:lang w:val="en-GB"/>
              </w:rPr>
            </w:pPr>
          </w:p>
        </w:tc>
      </w:tr>
      <w:tr w14:paraId="2038A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vAlign w:val="center"/>
          </w:tcPr>
          <w:p w14:paraId="7D432205">
            <w:pPr>
              <w:tabs>
                <w:tab w:val="left" w:pos="1260"/>
              </w:tabs>
              <w:spacing w:line="320" w:lineRule="exact"/>
              <w:jc w:val="center"/>
              <w:rPr>
                <w:rFonts w:asciiTheme="minorEastAsia" w:hAnsiTheme="minorEastAsia" w:eastAsiaTheme="minorEastAsia" w:cstheme="minorEastAsia"/>
                <w:lang w:val="en-GB"/>
              </w:rPr>
            </w:pPr>
          </w:p>
        </w:tc>
        <w:tc>
          <w:tcPr>
            <w:tcW w:w="2823" w:type="dxa"/>
            <w:vAlign w:val="center"/>
          </w:tcPr>
          <w:p w14:paraId="2613D4C2">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14:paraId="33470536">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14:paraId="772A6BFB">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14:paraId="0348C18D">
            <w:pPr>
              <w:tabs>
                <w:tab w:val="left" w:pos="1260"/>
              </w:tabs>
              <w:spacing w:line="320" w:lineRule="exact"/>
              <w:jc w:val="center"/>
              <w:rPr>
                <w:rFonts w:asciiTheme="minorEastAsia" w:hAnsiTheme="minorEastAsia" w:eastAsiaTheme="minorEastAsia" w:cstheme="minorEastAsia"/>
                <w:lang w:val="en-GB"/>
              </w:rPr>
            </w:pPr>
          </w:p>
        </w:tc>
      </w:tr>
      <w:tr w14:paraId="4F007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restart"/>
            <w:vAlign w:val="center"/>
          </w:tcPr>
          <w:p w14:paraId="5B7328F6">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环保</w:t>
            </w:r>
          </w:p>
          <w:p w14:paraId="67F2BBE5">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标志</w:t>
            </w:r>
          </w:p>
          <w:p w14:paraId="374BA074">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产品</w:t>
            </w:r>
          </w:p>
        </w:tc>
        <w:tc>
          <w:tcPr>
            <w:tcW w:w="2823" w:type="dxa"/>
            <w:vAlign w:val="center"/>
          </w:tcPr>
          <w:p w14:paraId="541F0999">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14:paraId="32F541F9">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14:paraId="02400C4F">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14:paraId="0F93F19C">
            <w:pPr>
              <w:tabs>
                <w:tab w:val="left" w:pos="1260"/>
              </w:tabs>
              <w:spacing w:line="320" w:lineRule="exact"/>
              <w:jc w:val="center"/>
              <w:rPr>
                <w:rFonts w:asciiTheme="minorEastAsia" w:hAnsiTheme="minorEastAsia" w:eastAsiaTheme="minorEastAsia" w:cstheme="minorEastAsia"/>
                <w:lang w:val="en-GB"/>
              </w:rPr>
            </w:pPr>
          </w:p>
        </w:tc>
      </w:tr>
      <w:tr w14:paraId="02C3D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vAlign w:val="center"/>
          </w:tcPr>
          <w:p w14:paraId="28E90458">
            <w:pPr>
              <w:tabs>
                <w:tab w:val="left" w:pos="1260"/>
              </w:tabs>
              <w:spacing w:line="320" w:lineRule="exact"/>
              <w:jc w:val="center"/>
              <w:rPr>
                <w:rFonts w:asciiTheme="minorEastAsia" w:hAnsiTheme="minorEastAsia" w:eastAsiaTheme="minorEastAsia" w:cstheme="minorEastAsia"/>
                <w:lang w:val="en-GB"/>
              </w:rPr>
            </w:pPr>
          </w:p>
        </w:tc>
        <w:tc>
          <w:tcPr>
            <w:tcW w:w="2823" w:type="dxa"/>
            <w:vAlign w:val="center"/>
          </w:tcPr>
          <w:p w14:paraId="2463A996">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14:paraId="23B39A5B">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14:paraId="66EF65E1">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14:paraId="162A1729">
            <w:pPr>
              <w:tabs>
                <w:tab w:val="left" w:pos="1260"/>
              </w:tabs>
              <w:spacing w:line="320" w:lineRule="exact"/>
              <w:jc w:val="center"/>
              <w:rPr>
                <w:rFonts w:asciiTheme="minorEastAsia" w:hAnsiTheme="minorEastAsia" w:eastAsiaTheme="minorEastAsia" w:cstheme="minorEastAsia"/>
                <w:lang w:val="en-GB"/>
              </w:rPr>
            </w:pPr>
          </w:p>
        </w:tc>
      </w:tr>
      <w:tr w14:paraId="15103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vAlign w:val="center"/>
          </w:tcPr>
          <w:p w14:paraId="591D91DC">
            <w:pPr>
              <w:tabs>
                <w:tab w:val="left" w:pos="1260"/>
              </w:tabs>
              <w:spacing w:line="320" w:lineRule="exact"/>
              <w:jc w:val="center"/>
              <w:rPr>
                <w:rFonts w:asciiTheme="minorEastAsia" w:hAnsiTheme="minorEastAsia" w:eastAsiaTheme="minorEastAsia" w:cstheme="minorEastAsia"/>
                <w:lang w:val="en-GB"/>
              </w:rPr>
            </w:pPr>
          </w:p>
        </w:tc>
        <w:tc>
          <w:tcPr>
            <w:tcW w:w="2823" w:type="dxa"/>
            <w:vAlign w:val="center"/>
          </w:tcPr>
          <w:p w14:paraId="3A81AB97">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14:paraId="0EB7CB0D">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14:paraId="0FBCAA83">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14:paraId="2150065F">
            <w:pPr>
              <w:tabs>
                <w:tab w:val="left" w:pos="1260"/>
              </w:tabs>
              <w:spacing w:line="320" w:lineRule="exact"/>
              <w:jc w:val="center"/>
              <w:rPr>
                <w:rFonts w:asciiTheme="minorEastAsia" w:hAnsiTheme="minorEastAsia" w:eastAsiaTheme="minorEastAsia" w:cstheme="minorEastAsia"/>
                <w:lang w:val="en-GB"/>
              </w:rPr>
            </w:pPr>
          </w:p>
        </w:tc>
      </w:tr>
      <w:tr w14:paraId="7745E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Align w:val="center"/>
          </w:tcPr>
          <w:p w14:paraId="673B5CA3">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说明</w:t>
            </w:r>
          </w:p>
        </w:tc>
        <w:tc>
          <w:tcPr>
            <w:tcW w:w="8547" w:type="dxa"/>
            <w:gridSpan w:val="4"/>
            <w:vAlign w:val="center"/>
          </w:tcPr>
          <w:p w14:paraId="1E9AACC7">
            <w:pPr>
              <w:tabs>
                <w:tab w:val="left" w:pos="1260"/>
              </w:tabs>
              <w:spacing w:line="320" w:lineRule="exact"/>
              <w:rPr>
                <w:rFonts w:asciiTheme="minorEastAsia" w:hAnsiTheme="minorEastAsia" w:eastAsiaTheme="minorEastAsia" w:cstheme="minorEastAsia"/>
                <w:lang w:val="en-GB"/>
              </w:rPr>
            </w:pPr>
          </w:p>
        </w:tc>
      </w:tr>
    </w:tbl>
    <w:p w14:paraId="663BFF23">
      <w:pPr>
        <w:spacing w:line="400" w:lineRule="exact"/>
        <w:rPr>
          <w:rFonts w:asciiTheme="minorEastAsia" w:hAnsiTheme="minorEastAsia" w:eastAsiaTheme="minorEastAsia" w:cstheme="minorEastAsia"/>
        </w:rPr>
      </w:pPr>
    </w:p>
    <w:p w14:paraId="2846DC69">
      <w:pPr>
        <w:spacing w:line="32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注：1. “节能产品、环保标志产品”是属于国家行业主管部门颁布的清单目录中的产品，须填写认证证书编号，并同时提供有效期内的证书复印件附后，同时提供下述文件（均为复印件，加盖报价供应商公章）：</w:t>
      </w:r>
    </w:p>
    <w:p w14:paraId="4DD4A87F">
      <w:pPr>
        <w:spacing w:line="32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（1）属于“节能产品政府采购清单”中品目的产品，提供“节能产品政府采购清单（第___期）”中投标产品所在清单页并加盖报价供应商公章，节能清单在中国政府采购网（http：//www.ccgp.gov .cn/）、国家发展改革委网站（</w:t>
      </w:r>
      <w:r>
        <w:fldChar w:fldCharType="begin"/>
      </w:r>
      <w:r>
        <w:instrText xml:space="preserve"> HYPERLINK "http://hzs.nd" </w:instrText>
      </w:r>
      <w:r>
        <w:fldChar w:fldCharType="separate"/>
      </w:r>
      <w:r>
        <w:rPr>
          <w:rFonts w:hint="eastAsia" w:asciiTheme="minorEastAsia" w:hAnsiTheme="minorEastAsia" w:eastAsiaTheme="minorEastAsia" w:cstheme="minorEastAsia"/>
        </w:rPr>
        <w:t>http://hzs.nd</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rPr>
        <w:t xml:space="preserve"> rc.gv.cn/）和中国质量认证中心网站（http://www.cqc.com.cn/）上发布；</w:t>
      </w:r>
    </w:p>
    <w:p w14:paraId="7B582E14">
      <w:pPr>
        <w:spacing w:line="32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2）属于“环境标志产品政府采购清单”中品目的产品，提供最新“环境标志产品政府采购清单”中投标产品所在清单页并加盖报价供应商公章，清单在中国政府采购网（http://www.ccgp.gov.cn/）、国家环境保护总局网（http://www.sepa.gov.cn/）、中国绿色采购网（http://www.cgpn. cn/）上发布。</w:t>
      </w:r>
    </w:p>
    <w:p w14:paraId="347C8517">
      <w:pPr>
        <w:spacing w:line="32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2、报价中“该产品报价占总报价比重”视作不变。</w:t>
      </w:r>
    </w:p>
    <w:p w14:paraId="106A8D3A">
      <w:pPr>
        <w:spacing w:line="360" w:lineRule="auto"/>
        <w:ind w:firstLine="420" w:firstLineChars="200"/>
        <w:rPr>
          <w:rFonts w:asciiTheme="minorEastAsia" w:hAnsiTheme="minorEastAsia" w:eastAsiaTheme="minorEastAsia" w:cstheme="minorEastAsia"/>
        </w:rPr>
      </w:pPr>
    </w:p>
    <w:p w14:paraId="631303A1">
      <w:pPr>
        <w:rPr>
          <w:rFonts w:asciiTheme="minorEastAsia" w:hAnsiTheme="minorEastAsia" w:eastAsiaTheme="minorEastAsia" w:cstheme="minorEastAsia"/>
        </w:rPr>
      </w:pPr>
    </w:p>
    <w:p w14:paraId="295C5907">
      <w:pPr>
        <w:spacing w:line="380" w:lineRule="exact"/>
        <w:jc w:val="both"/>
        <w:rPr>
          <w:rFonts w:asciiTheme="minorEastAsia" w:hAnsiTheme="minorEastAsia" w:eastAsiaTheme="minorEastAsia" w:cstheme="minorEastAsia"/>
        </w:rPr>
      </w:pPr>
      <w:r>
        <w:rPr>
          <w:rFonts w:hint="eastAsia" w:asciiTheme="minorEastAsia" w:hAnsiTheme="minorEastAsia" w:eastAsiaTheme="minorEastAsia" w:cstheme="minorEastAsia"/>
        </w:rPr>
        <w:t>响应供应商（公章）：_____________________</w:t>
      </w:r>
    </w:p>
    <w:p w14:paraId="29AF4522">
      <w:pPr>
        <w:spacing w:line="380" w:lineRule="exact"/>
        <w:jc w:val="both"/>
        <w:rPr>
          <w:rFonts w:asciiTheme="minorEastAsia" w:hAnsiTheme="minorEastAsia" w:eastAsiaTheme="minorEastAsia" w:cstheme="minorEastAsia"/>
        </w:rPr>
      </w:pPr>
      <w:r>
        <w:rPr>
          <w:rFonts w:hint="eastAsia" w:asciiTheme="minorEastAsia" w:hAnsiTheme="minorEastAsia" w:eastAsiaTheme="minorEastAsia" w:cstheme="minorEastAsia"/>
        </w:rPr>
        <w:t xml:space="preserve">法定代表人或其授权代表签名：__________________      </w:t>
      </w:r>
    </w:p>
    <w:p w14:paraId="3A6B50BB">
      <w:pPr>
        <w:spacing w:line="380" w:lineRule="exact"/>
        <w:jc w:val="both"/>
        <w:rPr>
          <w:rFonts w:asciiTheme="minorEastAsia" w:hAnsiTheme="minorEastAsia" w:eastAsiaTheme="minorEastAsia" w:cstheme="minorEastAsia"/>
        </w:rPr>
      </w:pPr>
      <w:r>
        <w:rPr>
          <w:rFonts w:hint="eastAsia" w:asciiTheme="minorEastAsia" w:hAnsiTheme="minorEastAsia" w:eastAsiaTheme="minorEastAsia" w:cstheme="minorEastAsia"/>
        </w:rPr>
        <w:t>日期：   年     月     日</w:t>
      </w:r>
    </w:p>
    <w:p w14:paraId="22DEE5E6">
      <w:pPr>
        <w:widowControl/>
        <w:autoSpaceDE/>
        <w:autoSpaceDN/>
        <w:adjustRightInd/>
        <w:rPr>
          <w:rFonts w:asciiTheme="minorEastAsia" w:hAnsiTheme="minorEastAsia" w:eastAsiaTheme="minorEastAsia" w:cstheme="minorEastAsia"/>
          <w:b/>
          <w:kern w:val="2"/>
        </w:rPr>
      </w:pPr>
      <w:r>
        <w:rPr>
          <w:rFonts w:hint="eastAsia" w:asciiTheme="minorEastAsia" w:hAnsiTheme="minorEastAsia" w:eastAsiaTheme="minorEastAsia" w:cstheme="minorEastAsia"/>
          <w:b/>
          <w:kern w:val="2"/>
        </w:rPr>
        <w:br w:type="page"/>
      </w:r>
    </w:p>
    <w:p w14:paraId="69332BCE">
      <w:pPr>
        <w:autoSpaceDE/>
        <w:autoSpaceDN/>
        <w:adjustRightInd/>
        <w:spacing w:afterLines="50"/>
        <w:jc w:val="center"/>
        <w:outlineLvl w:val="2"/>
        <w:rPr>
          <w:rFonts w:hint="eastAsia" w:ascii="仿宋_GB2312" w:eastAsia="仿宋_GB2312"/>
          <w:b/>
          <w:kern w:val="2"/>
          <w:sz w:val="28"/>
          <w:szCs w:val="28"/>
          <w:lang w:eastAsia="zh-CN"/>
        </w:rPr>
      </w:pPr>
      <w:r>
        <w:rPr>
          <w:rFonts w:hint="eastAsia" w:ascii="仿宋_GB2312" w:eastAsia="仿宋_GB2312"/>
          <w:b/>
          <w:kern w:val="2"/>
          <w:sz w:val="28"/>
          <w:szCs w:val="28"/>
        </w:rPr>
        <w:t>项目</w:t>
      </w:r>
      <w:r>
        <w:rPr>
          <w:rFonts w:hint="eastAsia" w:ascii="仿宋_GB2312" w:eastAsia="仿宋_GB2312"/>
          <w:b/>
          <w:kern w:val="2"/>
          <w:sz w:val="28"/>
          <w:szCs w:val="28"/>
          <w:lang w:eastAsia="zh-CN"/>
        </w:rPr>
        <w:t>整体施工方案</w:t>
      </w:r>
    </w:p>
    <w:p w14:paraId="33F7FBEE">
      <w:pPr>
        <w:numPr>
          <w:ilvl w:val="0"/>
          <w:numId w:val="25"/>
        </w:numPr>
        <w:tabs>
          <w:tab w:val="left" w:pos="360"/>
        </w:tabs>
        <w:autoSpaceDE/>
        <w:autoSpaceDN/>
        <w:snapToGrid w:val="0"/>
        <w:spacing w:line="360" w:lineRule="auto"/>
        <w:jc w:val="both"/>
        <w:rPr>
          <w:rFonts w:ascii="宋体" w:hAnsi="宋体"/>
          <w:spacing w:val="4"/>
        </w:rPr>
      </w:pPr>
      <w:r>
        <w:rPr>
          <w:rFonts w:hint="eastAsia"/>
        </w:rPr>
        <w:t>响应供应商根据评审标准技术部分进行编制，格式自拟。</w:t>
      </w:r>
    </w:p>
    <w:p w14:paraId="706BBF9B">
      <w:pPr>
        <w:spacing w:line="440" w:lineRule="exact"/>
        <w:rPr>
          <w:spacing w:val="4"/>
        </w:rPr>
      </w:pPr>
      <w:r>
        <w:rPr>
          <w:rFonts w:hint="eastAsia"/>
          <w:spacing w:val="4"/>
        </w:rPr>
        <w:t>响应供应商名称（单位盖公章）：</w:t>
      </w:r>
    </w:p>
    <w:p w14:paraId="0F5B65F3">
      <w:pPr>
        <w:spacing w:line="440" w:lineRule="exact"/>
        <w:rPr>
          <w:spacing w:val="4"/>
          <w:u w:val="single"/>
        </w:rPr>
      </w:pPr>
      <w:r>
        <w:rPr>
          <w:rFonts w:hint="eastAsia"/>
          <w:spacing w:val="4"/>
        </w:rPr>
        <w:t>日期：</w:t>
      </w:r>
    </w:p>
    <w:p w14:paraId="1146579F">
      <w:pPr>
        <w:autoSpaceDE/>
        <w:autoSpaceDN/>
        <w:adjustRightInd/>
        <w:spacing w:line="440" w:lineRule="exact"/>
        <w:jc w:val="both"/>
        <w:rPr>
          <w:spacing w:val="4"/>
        </w:rPr>
      </w:pPr>
    </w:p>
    <w:p w14:paraId="1AFA9694">
      <w:pPr>
        <w:numPr>
          <w:ilvl w:val="0"/>
          <w:numId w:val="22"/>
        </w:numPr>
        <w:autoSpaceDE/>
        <w:autoSpaceDN/>
        <w:adjustRightInd/>
        <w:spacing w:line="440" w:lineRule="exact"/>
        <w:ind w:hanging="780"/>
        <w:jc w:val="both"/>
        <w:rPr>
          <w:rFonts w:ascii="黑体" w:eastAsia="黑体"/>
          <w:bCs/>
          <w:sz w:val="28"/>
        </w:rPr>
      </w:pPr>
      <w:r>
        <w:rPr>
          <w:rFonts w:ascii="宋体" w:hAnsi="宋体"/>
          <w:bCs/>
        </w:rPr>
        <w:br w:type="page"/>
      </w:r>
    </w:p>
    <w:p w14:paraId="504866D1">
      <w:pPr>
        <w:pStyle w:val="3"/>
        <w:adjustRightInd w:val="0"/>
        <w:snapToGrid w:val="0"/>
        <w:spacing w:beforeLines="50" w:afterLines="50" w:line="360" w:lineRule="auto"/>
        <w:jc w:val="center"/>
        <w:rPr>
          <w:b w:val="0"/>
        </w:rPr>
      </w:pPr>
      <w:bookmarkStart w:id="80" w:name="_Toc173553182"/>
      <w:bookmarkStart w:id="81" w:name="_Toc410736190"/>
      <w:bookmarkStart w:id="82" w:name="_Toc416771381"/>
      <w:bookmarkStart w:id="83" w:name="_Toc416770270"/>
      <w:bookmarkStart w:id="84" w:name="_Toc275865616"/>
      <w:bookmarkStart w:id="85" w:name="_Toc410738989"/>
      <w:bookmarkStart w:id="86" w:name="_Toc50703730"/>
      <w:bookmarkStart w:id="87" w:name="_Toc50691037"/>
      <w:bookmarkStart w:id="88" w:name="_Toc43264518"/>
      <w:r>
        <w:rPr>
          <w:rFonts w:hint="eastAsia"/>
          <w:b w:val="0"/>
        </w:rPr>
        <w:t>用户需求书响应一览表</w:t>
      </w:r>
    </w:p>
    <w:p w14:paraId="0F88635E">
      <w:pPr>
        <w:spacing w:line="360" w:lineRule="auto"/>
        <w:rPr>
          <w:rFonts w:ascii="宋体" w:hAnsi="宋体"/>
        </w:rPr>
      </w:pPr>
      <w:r>
        <w:rPr>
          <w:rFonts w:hint="eastAsia" w:ascii="宋体" w:hAnsi="宋体"/>
        </w:rPr>
        <w:t>说明：响应供应商必须对应竞争性磋商文件的用户需求书条款逐条应答并按要求填写下表。</w:t>
      </w:r>
    </w:p>
    <w:p w14:paraId="39B0C6B1">
      <w:pPr>
        <w:widowControl/>
        <w:wordWrap w:val="0"/>
        <w:spacing w:line="360" w:lineRule="auto"/>
        <w:rPr>
          <w:rFonts w:hint="eastAsia" w:ascii="宋体" w:hAnsi="宋体" w:eastAsia="宋体"/>
          <w:lang w:eastAsia="zh-CN"/>
        </w:rPr>
      </w:pPr>
      <w:r>
        <w:rPr>
          <w:rFonts w:hint="eastAsia" w:ascii="宋体" w:hAnsi="宋体"/>
        </w:rPr>
        <w:t>响应供应商名称：                                     项目编号：</w:t>
      </w:r>
      <w:r>
        <w:rPr>
          <w:rFonts w:hint="eastAsia" w:ascii="宋体"/>
          <w:bCs/>
          <w:lang w:eastAsia="zh-CN"/>
        </w:rPr>
        <w:t>GDQSST2024JC12002S</w:t>
      </w:r>
    </w:p>
    <w:tbl>
      <w:tblPr>
        <w:tblStyle w:val="13"/>
        <w:tblW w:w="948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5"/>
        <w:gridCol w:w="1186"/>
        <w:gridCol w:w="1757"/>
        <w:gridCol w:w="2362"/>
        <w:gridCol w:w="1842"/>
        <w:gridCol w:w="1804"/>
      </w:tblGrid>
      <w:tr w14:paraId="29D3F7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810" w:hRule="atLeast"/>
          <w:jc w:val="center"/>
        </w:trPr>
        <w:tc>
          <w:tcPr>
            <w:tcW w:w="535" w:type="dxa"/>
            <w:tcBorders>
              <w:top w:val="single" w:color="auto" w:sz="12" w:space="0"/>
              <w:bottom w:val="double" w:color="auto" w:sz="4" w:space="0"/>
            </w:tcBorders>
            <w:shd w:val="clear" w:color="auto" w:fill="EEECE1"/>
            <w:vAlign w:val="center"/>
          </w:tcPr>
          <w:p w14:paraId="5BE04DBB">
            <w:pPr>
              <w:snapToGrid w:val="0"/>
              <w:ind w:left="-71" w:leftChars="-34" w:right="-73" w:rightChars="-35"/>
              <w:jc w:val="center"/>
              <w:rPr>
                <w:rFonts w:ascii="宋体" w:hAnsi="宋体"/>
              </w:rPr>
            </w:pPr>
            <w:r>
              <w:rPr>
                <w:rFonts w:hint="eastAsia" w:ascii="宋体" w:hAnsi="宋体"/>
              </w:rPr>
              <w:t>序号</w:t>
            </w:r>
          </w:p>
        </w:tc>
        <w:tc>
          <w:tcPr>
            <w:tcW w:w="1186" w:type="dxa"/>
            <w:tcBorders>
              <w:top w:val="single" w:color="auto" w:sz="12" w:space="0"/>
              <w:bottom w:val="double" w:color="auto" w:sz="4" w:space="0"/>
            </w:tcBorders>
            <w:shd w:val="clear" w:color="auto" w:fill="EEECE1"/>
            <w:vAlign w:val="center"/>
          </w:tcPr>
          <w:p w14:paraId="49D2FC4D">
            <w:pPr>
              <w:snapToGrid w:val="0"/>
              <w:ind w:left="-71" w:leftChars="-34" w:right="-73" w:rightChars="-35"/>
              <w:jc w:val="center"/>
              <w:rPr>
                <w:rFonts w:ascii="宋体" w:hAnsi="宋体"/>
              </w:rPr>
            </w:pPr>
            <w:r>
              <w:rPr>
                <w:rFonts w:hint="eastAsia" w:ascii="宋体" w:hAnsi="宋体"/>
              </w:rPr>
              <w:t>工程内容</w:t>
            </w:r>
          </w:p>
        </w:tc>
        <w:tc>
          <w:tcPr>
            <w:tcW w:w="1757" w:type="dxa"/>
            <w:tcBorders>
              <w:top w:val="single" w:color="auto" w:sz="12" w:space="0"/>
              <w:bottom w:val="double" w:color="auto" w:sz="4" w:space="0"/>
            </w:tcBorders>
            <w:shd w:val="clear" w:color="auto" w:fill="EEECE1"/>
            <w:vAlign w:val="center"/>
          </w:tcPr>
          <w:p w14:paraId="5782EE7F">
            <w:pPr>
              <w:snapToGrid w:val="0"/>
              <w:ind w:left="-71" w:leftChars="-34" w:right="-73" w:rightChars="-35"/>
              <w:jc w:val="center"/>
              <w:rPr>
                <w:rFonts w:ascii="宋体" w:hAnsi="宋体"/>
              </w:rPr>
            </w:pPr>
            <w:r>
              <w:rPr>
                <w:rFonts w:hint="eastAsia" w:ascii="宋体" w:hAnsi="宋体"/>
              </w:rPr>
              <w:t>竞争性磋商文件条款描述</w:t>
            </w:r>
          </w:p>
        </w:tc>
        <w:tc>
          <w:tcPr>
            <w:tcW w:w="2362" w:type="dxa"/>
            <w:tcBorders>
              <w:top w:val="single" w:color="auto" w:sz="12" w:space="0"/>
              <w:bottom w:val="double" w:color="auto" w:sz="4" w:space="0"/>
            </w:tcBorders>
            <w:shd w:val="clear" w:color="auto" w:fill="EEECE1"/>
            <w:vAlign w:val="center"/>
          </w:tcPr>
          <w:p w14:paraId="16149FA3">
            <w:pPr>
              <w:snapToGrid w:val="0"/>
              <w:ind w:left="-71" w:leftChars="-34" w:right="-73" w:rightChars="-35"/>
              <w:jc w:val="center"/>
              <w:rPr>
                <w:rFonts w:ascii="宋体" w:hAnsi="宋体"/>
              </w:rPr>
            </w:pPr>
            <w:r>
              <w:rPr>
                <w:rFonts w:hint="eastAsia" w:ascii="宋体" w:hAnsi="宋体"/>
              </w:rPr>
              <w:t>响应供应商响应描述</w:t>
            </w:r>
          </w:p>
          <w:p w14:paraId="69FF92AB">
            <w:pPr>
              <w:snapToGrid w:val="0"/>
              <w:ind w:left="-71" w:leftChars="-34" w:right="-73" w:rightChars="-35"/>
              <w:jc w:val="center"/>
              <w:rPr>
                <w:rFonts w:ascii="宋体" w:hAnsi="宋体"/>
              </w:rPr>
            </w:pPr>
            <w:r>
              <w:rPr>
                <w:rFonts w:hint="eastAsia" w:ascii="宋体" w:hAnsi="宋体"/>
                <w:b/>
                <w:bCs/>
              </w:rPr>
              <w:t>(投标供应商应按响应货物/服务实际数据填写)</w:t>
            </w:r>
          </w:p>
        </w:tc>
        <w:tc>
          <w:tcPr>
            <w:tcW w:w="1842" w:type="dxa"/>
            <w:tcBorders>
              <w:top w:val="single" w:color="auto" w:sz="12" w:space="0"/>
              <w:bottom w:val="double" w:color="auto" w:sz="4" w:space="0"/>
            </w:tcBorders>
            <w:shd w:val="clear" w:color="auto" w:fill="EEECE1"/>
            <w:vAlign w:val="center"/>
          </w:tcPr>
          <w:p w14:paraId="0DE4A044">
            <w:pPr>
              <w:snapToGrid w:val="0"/>
              <w:ind w:left="-71" w:leftChars="-34" w:right="-73" w:rightChars="-35"/>
              <w:jc w:val="center"/>
              <w:rPr>
                <w:rFonts w:ascii="宋体" w:hAnsi="宋体"/>
              </w:rPr>
            </w:pPr>
            <w:r>
              <w:rPr>
                <w:rFonts w:hint="eastAsia" w:ascii="宋体" w:hAnsi="宋体"/>
              </w:rPr>
              <w:t>偏离情况说明</w:t>
            </w:r>
          </w:p>
          <w:p w14:paraId="29DD6F20">
            <w:pPr>
              <w:snapToGrid w:val="0"/>
              <w:jc w:val="center"/>
              <w:rPr>
                <w:rFonts w:ascii="宋体" w:hAnsi="宋体"/>
                <w:b/>
              </w:rPr>
            </w:pPr>
            <w:r>
              <w:rPr>
                <w:rFonts w:hint="eastAsia" w:ascii="宋体" w:hAnsi="宋体"/>
                <w:b/>
              </w:rPr>
              <w:t>（</w:t>
            </w:r>
            <w:r>
              <w:rPr>
                <w:rFonts w:hint="eastAsia"/>
                <w:b/>
              </w:rPr>
              <w:t>正偏离/完全响应/负偏离</w:t>
            </w:r>
            <w:r>
              <w:rPr>
                <w:rFonts w:hint="eastAsia" w:ascii="宋体" w:hAnsi="宋体"/>
                <w:b/>
              </w:rPr>
              <w:t>）</w:t>
            </w:r>
          </w:p>
        </w:tc>
        <w:tc>
          <w:tcPr>
            <w:tcW w:w="1804" w:type="dxa"/>
            <w:tcBorders>
              <w:top w:val="single" w:color="auto" w:sz="12" w:space="0"/>
              <w:bottom w:val="double" w:color="auto" w:sz="4" w:space="0"/>
            </w:tcBorders>
            <w:shd w:val="clear" w:color="auto" w:fill="EEECE1"/>
            <w:vAlign w:val="center"/>
          </w:tcPr>
          <w:p w14:paraId="28B1E6FC">
            <w:pPr>
              <w:snapToGrid w:val="0"/>
              <w:ind w:left="-71" w:leftChars="-34" w:right="-73" w:rightChars="-35"/>
              <w:jc w:val="center"/>
              <w:rPr>
                <w:rFonts w:ascii="宋体" w:hAnsi="宋体"/>
              </w:rPr>
            </w:pPr>
            <w:r>
              <w:rPr>
                <w:rFonts w:hint="eastAsia" w:ascii="宋体" w:hAnsi="宋体"/>
              </w:rPr>
              <w:t>查阅/证明文件指引</w:t>
            </w:r>
          </w:p>
        </w:tc>
      </w:tr>
      <w:tr w14:paraId="542C88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9486" w:type="dxa"/>
            <w:gridSpan w:val="6"/>
            <w:vAlign w:val="center"/>
          </w:tcPr>
          <w:p w14:paraId="3EAA11B0">
            <w:pPr>
              <w:spacing w:line="400" w:lineRule="exact"/>
              <w:jc w:val="center"/>
              <w:rPr>
                <w:rFonts w:ascii="宋体" w:hAnsi="宋体"/>
                <w:b/>
              </w:rPr>
            </w:pPr>
          </w:p>
        </w:tc>
      </w:tr>
      <w:tr w14:paraId="7AF536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14:paraId="407DDC9A">
            <w:pPr>
              <w:numPr>
                <w:ilvl w:val="0"/>
                <w:numId w:val="26"/>
              </w:numPr>
              <w:autoSpaceDE/>
              <w:autoSpaceDN/>
              <w:adjustRightInd/>
              <w:jc w:val="center"/>
              <w:rPr>
                <w:rFonts w:ascii="宋体" w:hAnsi="宋体"/>
              </w:rPr>
            </w:pPr>
          </w:p>
        </w:tc>
        <w:tc>
          <w:tcPr>
            <w:tcW w:w="1186" w:type="dxa"/>
            <w:vAlign w:val="center"/>
          </w:tcPr>
          <w:p w14:paraId="38CC3942">
            <w:pPr>
              <w:spacing w:line="400" w:lineRule="exact"/>
              <w:jc w:val="center"/>
              <w:rPr>
                <w:rFonts w:ascii="宋体" w:hAnsi="宋体"/>
              </w:rPr>
            </w:pPr>
          </w:p>
        </w:tc>
        <w:tc>
          <w:tcPr>
            <w:tcW w:w="1757" w:type="dxa"/>
            <w:vAlign w:val="center"/>
          </w:tcPr>
          <w:p w14:paraId="18BA1171">
            <w:pPr>
              <w:spacing w:line="400" w:lineRule="exact"/>
              <w:jc w:val="center"/>
              <w:rPr>
                <w:rFonts w:ascii="宋体" w:hAnsi="宋体"/>
              </w:rPr>
            </w:pPr>
          </w:p>
        </w:tc>
        <w:tc>
          <w:tcPr>
            <w:tcW w:w="2362" w:type="dxa"/>
            <w:vAlign w:val="center"/>
          </w:tcPr>
          <w:p w14:paraId="4356921B">
            <w:pPr>
              <w:spacing w:line="400" w:lineRule="exact"/>
              <w:jc w:val="center"/>
              <w:rPr>
                <w:rFonts w:ascii="宋体" w:hAnsi="宋体"/>
              </w:rPr>
            </w:pPr>
          </w:p>
        </w:tc>
        <w:tc>
          <w:tcPr>
            <w:tcW w:w="1842" w:type="dxa"/>
            <w:vAlign w:val="center"/>
          </w:tcPr>
          <w:p w14:paraId="1C07338A">
            <w:pPr>
              <w:spacing w:line="400" w:lineRule="exact"/>
              <w:jc w:val="center"/>
              <w:rPr>
                <w:rFonts w:ascii="宋体" w:hAnsi="宋体"/>
              </w:rPr>
            </w:pPr>
          </w:p>
        </w:tc>
        <w:tc>
          <w:tcPr>
            <w:tcW w:w="1804" w:type="dxa"/>
            <w:vAlign w:val="center"/>
          </w:tcPr>
          <w:p w14:paraId="02E4154C">
            <w:pPr>
              <w:spacing w:line="400" w:lineRule="exact"/>
              <w:jc w:val="center"/>
              <w:rPr>
                <w:rFonts w:ascii="宋体" w:hAnsi="宋体"/>
              </w:rPr>
            </w:pPr>
            <w:r>
              <w:rPr>
                <w:rFonts w:hint="eastAsia" w:ascii="宋体" w:hAnsi="宋体" w:cs="宋体"/>
              </w:rPr>
              <w:t>见《响应文件》第页至页</w:t>
            </w:r>
          </w:p>
        </w:tc>
      </w:tr>
      <w:tr w14:paraId="6602A5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14:paraId="58771FC2">
            <w:pPr>
              <w:numPr>
                <w:ilvl w:val="0"/>
                <w:numId w:val="26"/>
              </w:numPr>
              <w:autoSpaceDE/>
              <w:autoSpaceDN/>
              <w:adjustRightInd/>
              <w:jc w:val="center"/>
              <w:rPr>
                <w:rFonts w:ascii="宋体" w:hAnsi="宋体"/>
              </w:rPr>
            </w:pPr>
          </w:p>
        </w:tc>
        <w:tc>
          <w:tcPr>
            <w:tcW w:w="1186" w:type="dxa"/>
            <w:vAlign w:val="center"/>
          </w:tcPr>
          <w:p w14:paraId="1547295E">
            <w:pPr>
              <w:spacing w:line="400" w:lineRule="exact"/>
              <w:jc w:val="center"/>
              <w:rPr>
                <w:rFonts w:ascii="宋体" w:hAnsi="宋体"/>
              </w:rPr>
            </w:pPr>
          </w:p>
        </w:tc>
        <w:tc>
          <w:tcPr>
            <w:tcW w:w="1757" w:type="dxa"/>
            <w:vAlign w:val="center"/>
          </w:tcPr>
          <w:p w14:paraId="028EB114">
            <w:pPr>
              <w:spacing w:line="400" w:lineRule="exact"/>
              <w:jc w:val="center"/>
              <w:rPr>
                <w:rFonts w:ascii="宋体" w:hAnsi="宋体"/>
              </w:rPr>
            </w:pPr>
          </w:p>
        </w:tc>
        <w:tc>
          <w:tcPr>
            <w:tcW w:w="2362" w:type="dxa"/>
            <w:vAlign w:val="center"/>
          </w:tcPr>
          <w:p w14:paraId="2ACF2198">
            <w:pPr>
              <w:spacing w:line="400" w:lineRule="exact"/>
              <w:jc w:val="center"/>
              <w:rPr>
                <w:rFonts w:ascii="宋体" w:hAnsi="宋体"/>
              </w:rPr>
            </w:pPr>
          </w:p>
        </w:tc>
        <w:tc>
          <w:tcPr>
            <w:tcW w:w="1842" w:type="dxa"/>
            <w:vAlign w:val="center"/>
          </w:tcPr>
          <w:p w14:paraId="43A4446E">
            <w:pPr>
              <w:spacing w:line="400" w:lineRule="exact"/>
              <w:jc w:val="center"/>
              <w:rPr>
                <w:rFonts w:ascii="宋体" w:hAnsi="宋体"/>
              </w:rPr>
            </w:pPr>
          </w:p>
        </w:tc>
        <w:tc>
          <w:tcPr>
            <w:tcW w:w="1804" w:type="dxa"/>
            <w:vAlign w:val="center"/>
          </w:tcPr>
          <w:p w14:paraId="63DB6047">
            <w:pPr>
              <w:spacing w:line="400" w:lineRule="exact"/>
              <w:jc w:val="center"/>
              <w:rPr>
                <w:rFonts w:ascii="宋体" w:hAnsi="宋体"/>
              </w:rPr>
            </w:pPr>
            <w:r>
              <w:rPr>
                <w:rFonts w:hint="eastAsia" w:ascii="宋体" w:hAnsi="宋体" w:cs="宋体"/>
              </w:rPr>
              <w:t>见《响应文件》第页至页</w:t>
            </w:r>
          </w:p>
        </w:tc>
      </w:tr>
      <w:tr w14:paraId="1F5B10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14:paraId="7F482436">
            <w:pPr>
              <w:numPr>
                <w:ilvl w:val="0"/>
                <w:numId w:val="26"/>
              </w:numPr>
              <w:autoSpaceDE/>
              <w:autoSpaceDN/>
              <w:adjustRightInd/>
              <w:jc w:val="center"/>
              <w:rPr>
                <w:rFonts w:ascii="宋体" w:hAnsi="宋体"/>
              </w:rPr>
            </w:pPr>
          </w:p>
        </w:tc>
        <w:tc>
          <w:tcPr>
            <w:tcW w:w="1186" w:type="dxa"/>
            <w:vAlign w:val="center"/>
          </w:tcPr>
          <w:p w14:paraId="58DCE88A">
            <w:pPr>
              <w:spacing w:line="400" w:lineRule="exact"/>
              <w:jc w:val="center"/>
              <w:rPr>
                <w:rFonts w:ascii="宋体" w:hAnsi="宋体"/>
              </w:rPr>
            </w:pPr>
          </w:p>
        </w:tc>
        <w:tc>
          <w:tcPr>
            <w:tcW w:w="1757" w:type="dxa"/>
            <w:vAlign w:val="center"/>
          </w:tcPr>
          <w:p w14:paraId="1B60A802">
            <w:pPr>
              <w:spacing w:line="400" w:lineRule="exact"/>
              <w:jc w:val="center"/>
              <w:rPr>
                <w:rFonts w:ascii="宋体" w:hAnsi="宋体"/>
              </w:rPr>
            </w:pPr>
          </w:p>
        </w:tc>
        <w:tc>
          <w:tcPr>
            <w:tcW w:w="2362" w:type="dxa"/>
            <w:vAlign w:val="center"/>
          </w:tcPr>
          <w:p w14:paraId="253532EF">
            <w:pPr>
              <w:spacing w:line="400" w:lineRule="exact"/>
              <w:jc w:val="center"/>
              <w:rPr>
                <w:rFonts w:ascii="宋体" w:hAnsi="宋体"/>
              </w:rPr>
            </w:pPr>
          </w:p>
        </w:tc>
        <w:tc>
          <w:tcPr>
            <w:tcW w:w="1842" w:type="dxa"/>
            <w:vAlign w:val="center"/>
          </w:tcPr>
          <w:p w14:paraId="3D7602E7">
            <w:pPr>
              <w:spacing w:line="400" w:lineRule="exact"/>
              <w:jc w:val="center"/>
              <w:rPr>
                <w:rFonts w:ascii="宋体" w:hAnsi="宋体"/>
              </w:rPr>
            </w:pPr>
          </w:p>
        </w:tc>
        <w:tc>
          <w:tcPr>
            <w:tcW w:w="1804" w:type="dxa"/>
            <w:vAlign w:val="center"/>
          </w:tcPr>
          <w:p w14:paraId="6233322F">
            <w:pPr>
              <w:spacing w:line="400" w:lineRule="exact"/>
              <w:jc w:val="center"/>
              <w:rPr>
                <w:rFonts w:ascii="宋体" w:hAnsi="宋体" w:cs="宋体"/>
              </w:rPr>
            </w:pPr>
            <w:r>
              <w:rPr>
                <w:rFonts w:hint="eastAsia" w:ascii="宋体" w:hAnsi="宋体" w:cs="宋体"/>
              </w:rPr>
              <w:t>见《响应文件》第页至页</w:t>
            </w:r>
          </w:p>
        </w:tc>
      </w:tr>
      <w:tr w14:paraId="034B9F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14:paraId="32714A3E">
            <w:pPr>
              <w:numPr>
                <w:ilvl w:val="0"/>
                <w:numId w:val="26"/>
              </w:numPr>
              <w:autoSpaceDE/>
              <w:autoSpaceDN/>
              <w:adjustRightInd/>
              <w:jc w:val="center"/>
              <w:rPr>
                <w:rFonts w:ascii="宋体" w:hAnsi="宋体"/>
              </w:rPr>
            </w:pPr>
          </w:p>
        </w:tc>
        <w:tc>
          <w:tcPr>
            <w:tcW w:w="1186" w:type="dxa"/>
            <w:vAlign w:val="center"/>
          </w:tcPr>
          <w:p w14:paraId="7884D788">
            <w:pPr>
              <w:spacing w:line="400" w:lineRule="exact"/>
              <w:jc w:val="center"/>
              <w:rPr>
                <w:rFonts w:ascii="宋体" w:hAnsi="宋体"/>
              </w:rPr>
            </w:pPr>
          </w:p>
        </w:tc>
        <w:tc>
          <w:tcPr>
            <w:tcW w:w="1757" w:type="dxa"/>
            <w:vAlign w:val="center"/>
          </w:tcPr>
          <w:p w14:paraId="0E0C1C9B">
            <w:pPr>
              <w:spacing w:line="400" w:lineRule="exact"/>
              <w:jc w:val="center"/>
              <w:rPr>
                <w:rFonts w:ascii="宋体" w:hAnsi="宋体"/>
              </w:rPr>
            </w:pPr>
          </w:p>
        </w:tc>
        <w:tc>
          <w:tcPr>
            <w:tcW w:w="2362" w:type="dxa"/>
            <w:vAlign w:val="center"/>
          </w:tcPr>
          <w:p w14:paraId="16B2C9EF">
            <w:pPr>
              <w:spacing w:line="400" w:lineRule="exact"/>
              <w:jc w:val="center"/>
              <w:rPr>
                <w:rFonts w:ascii="宋体" w:hAnsi="宋体"/>
              </w:rPr>
            </w:pPr>
          </w:p>
        </w:tc>
        <w:tc>
          <w:tcPr>
            <w:tcW w:w="1842" w:type="dxa"/>
            <w:vAlign w:val="center"/>
          </w:tcPr>
          <w:p w14:paraId="5F8E11DF">
            <w:pPr>
              <w:spacing w:line="400" w:lineRule="exact"/>
              <w:jc w:val="center"/>
              <w:rPr>
                <w:rFonts w:ascii="宋体" w:hAnsi="宋体"/>
              </w:rPr>
            </w:pPr>
          </w:p>
        </w:tc>
        <w:tc>
          <w:tcPr>
            <w:tcW w:w="1804" w:type="dxa"/>
            <w:vAlign w:val="center"/>
          </w:tcPr>
          <w:p w14:paraId="1A2F18B5">
            <w:pPr>
              <w:spacing w:line="400" w:lineRule="exact"/>
              <w:jc w:val="center"/>
              <w:rPr>
                <w:rFonts w:ascii="宋体" w:hAnsi="宋体" w:cs="宋体"/>
              </w:rPr>
            </w:pPr>
            <w:r>
              <w:rPr>
                <w:rFonts w:hint="eastAsia" w:ascii="宋体" w:hAnsi="宋体" w:cs="宋体"/>
              </w:rPr>
              <w:t>见《响应文件》第页至页</w:t>
            </w:r>
          </w:p>
        </w:tc>
      </w:tr>
    </w:tbl>
    <w:p w14:paraId="60359726">
      <w:pPr>
        <w:spacing w:line="360" w:lineRule="auto"/>
        <w:ind w:right="84" w:rightChars="40"/>
        <w:rPr>
          <w:rFonts w:ascii="宋体" w:hAnsi="宋体"/>
        </w:rPr>
      </w:pPr>
      <w:r>
        <w:rPr>
          <w:rFonts w:hint="eastAsia" w:ascii="宋体" w:hAnsi="宋体"/>
        </w:rPr>
        <w:t>备注：</w:t>
      </w:r>
    </w:p>
    <w:p w14:paraId="3E2DFC50">
      <w:pPr>
        <w:numPr>
          <w:ilvl w:val="0"/>
          <w:numId w:val="27"/>
        </w:numPr>
        <w:autoSpaceDE/>
        <w:autoSpaceDN/>
        <w:snapToGrid w:val="0"/>
        <w:spacing w:line="360" w:lineRule="auto"/>
        <w:ind w:right="84" w:rightChars="40"/>
        <w:jc w:val="both"/>
        <w:rPr>
          <w:rFonts w:ascii="宋体" w:hAnsi="宋体"/>
        </w:rPr>
      </w:pPr>
      <w:r>
        <w:rPr>
          <w:rFonts w:hint="eastAsia" w:ascii="宋体" w:hAnsi="宋体"/>
        </w:rPr>
        <w:t>本表的服务内容须与《报价表》一致，“竞争性磋商文件条款描述”的条款与用户需求中的条款描述不一致的，以用户需求中规定的为准。</w:t>
      </w:r>
    </w:p>
    <w:p w14:paraId="45E8A0B3">
      <w:pPr>
        <w:numPr>
          <w:ilvl w:val="0"/>
          <w:numId w:val="27"/>
        </w:numPr>
        <w:autoSpaceDE/>
        <w:autoSpaceDN/>
        <w:adjustRightInd/>
        <w:spacing w:line="360" w:lineRule="auto"/>
        <w:ind w:right="84" w:rightChars="40"/>
        <w:jc w:val="both"/>
        <w:rPr>
          <w:rFonts w:ascii="宋体" w:hAnsi="宋体"/>
        </w:rPr>
      </w:pPr>
      <w:r>
        <w:rPr>
          <w:rFonts w:hint="eastAsia" w:ascii="宋体" w:hAnsi="宋体"/>
        </w:rPr>
        <w:t>响应供应商必须按磋商文件要求提交相关文件，如有任何一条未响应或不满足的视为负偏离。</w:t>
      </w:r>
    </w:p>
    <w:p w14:paraId="7272C7BE">
      <w:pPr>
        <w:spacing w:line="500" w:lineRule="exact"/>
        <w:ind w:firstLine="436" w:firstLineChars="200"/>
        <w:rPr>
          <w:rFonts w:ascii="宋体" w:hAnsi="宋体"/>
          <w:spacing w:val="4"/>
        </w:rPr>
      </w:pPr>
    </w:p>
    <w:p w14:paraId="2BDDF25B">
      <w:pPr>
        <w:spacing w:line="500" w:lineRule="exact"/>
        <w:rPr>
          <w:rFonts w:ascii="宋体" w:hAnsi="宋体"/>
          <w:u w:val="single"/>
        </w:rPr>
      </w:pPr>
      <w:r>
        <w:rPr>
          <w:rFonts w:hint="eastAsia" w:ascii="宋体" w:hAnsi="宋体"/>
          <w:spacing w:val="4"/>
        </w:rPr>
        <w:t>响应供应商名称（盖公章）：</w:t>
      </w:r>
    </w:p>
    <w:p w14:paraId="5A9DF22F">
      <w:pPr>
        <w:spacing w:line="360" w:lineRule="auto"/>
        <w:ind w:firstLine="436" w:firstLineChars="200"/>
        <w:rPr>
          <w:rFonts w:ascii="宋体" w:hAnsi="宋体"/>
          <w:spacing w:val="4"/>
        </w:rPr>
      </w:pPr>
    </w:p>
    <w:p w14:paraId="76BAAEDC">
      <w:pPr>
        <w:autoSpaceDE/>
        <w:autoSpaceDN/>
        <w:adjustRightInd/>
        <w:spacing w:afterLines="50"/>
        <w:outlineLvl w:val="2"/>
        <w:rPr>
          <w:rFonts w:ascii="仿宋_GB2312" w:eastAsia="仿宋_GB2312"/>
          <w:b/>
          <w:kern w:val="2"/>
          <w:sz w:val="28"/>
          <w:szCs w:val="28"/>
        </w:rPr>
      </w:pPr>
      <w:r>
        <w:rPr>
          <w:rFonts w:hint="eastAsia" w:ascii="宋体" w:hAnsi="宋体"/>
          <w:spacing w:val="4"/>
        </w:rPr>
        <w:t>日期：</w:t>
      </w:r>
    </w:p>
    <w:p w14:paraId="72E97591">
      <w:pPr>
        <w:widowControl/>
        <w:autoSpaceDE/>
        <w:autoSpaceDN/>
        <w:adjustRightInd/>
        <w:rPr>
          <w:rFonts w:ascii="仿宋_GB2312" w:eastAsia="仿宋_GB2312"/>
          <w:b/>
          <w:kern w:val="2"/>
          <w:sz w:val="28"/>
          <w:szCs w:val="28"/>
        </w:rPr>
      </w:pPr>
      <w:r>
        <w:rPr>
          <w:rFonts w:ascii="仿宋_GB2312" w:eastAsia="仿宋_GB2312"/>
          <w:b/>
          <w:kern w:val="2"/>
          <w:sz w:val="28"/>
          <w:szCs w:val="28"/>
        </w:rPr>
        <w:br w:type="page"/>
      </w:r>
    </w:p>
    <w:p w14:paraId="346CB430">
      <w:pPr>
        <w:autoSpaceDE/>
        <w:autoSpaceDN/>
        <w:adjustRightInd/>
        <w:spacing w:afterLines="50"/>
        <w:jc w:val="center"/>
        <w:outlineLvl w:val="2"/>
        <w:rPr>
          <w:rFonts w:ascii="仿宋_GB2312" w:eastAsia="仿宋_GB2312"/>
          <w:b/>
          <w:kern w:val="2"/>
          <w:sz w:val="28"/>
          <w:szCs w:val="28"/>
        </w:rPr>
      </w:pPr>
      <w:r>
        <w:rPr>
          <w:rFonts w:hint="eastAsia" w:ascii="仿宋_GB2312" w:eastAsia="仿宋_GB2312"/>
          <w:b/>
          <w:kern w:val="2"/>
          <w:sz w:val="28"/>
          <w:szCs w:val="28"/>
        </w:rPr>
        <w:t>响应供应商基本情况表</w:t>
      </w:r>
      <w:bookmarkEnd w:id="80"/>
      <w:bookmarkEnd w:id="81"/>
      <w:bookmarkEnd w:id="82"/>
      <w:bookmarkEnd w:id="83"/>
      <w:bookmarkEnd w:id="84"/>
      <w:bookmarkEnd w:id="85"/>
    </w:p>
    <w:p w14:paraId="5EACCDD4">
      <w:pPr>
        <w:numPr>
          <w:ilvl w:val="0"/>
          <w:numId w:val="28"/>
        </w:numPr>
        <w:autoSpaceDE/>
        <w:autoSpaceDN/>
        <w:adjustRightInd/>
        <w:spacing w:line="360" w:lineRule="auto"/>
        <w:jc w:val="both"/>
        <w:rPr>
          <w:rFonts w:ascii="宋体" w:hAnsi="宋体" w:cs="Arial"/>
        </w:rPr>
      </w:pPr>
      <w:r>
        <w:rPr>
          <w:rFonts w:ascii="宋体" w:hAnsi="宋体" w:cs="Arial"/>
        </w:rPr>
        <w:t>公司基本情况</w:t>
      </w:r>
    </w:p>
    <w:p w14:paraId="6A001B76">
      <w:pPr>
        <w:numPr>
          <w:ilvl w:val="1"/>
          <w:numId w:val="28"/>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公司名称：  电话号码：</w:t>
      </w:r>
    </w:p>
    <w:p w14:paraId="486947B7">
      <w:pPr>
        <w:numPr>
          <w:ilvl w:val="1"/>
          <w:numId w:val="28"/>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地    址：  传    真：</w:t>
      </w:r>
    </w:p>
    <w:p w14:paraId="446D12E7">
      <w:pPr>
        <w:numPr>
          <w:ilvl w:val="1"/>
          <w:numId w:val="28"/>
        </w:numPr>
        <w:tabs>
          <w:tab w:val="left" w:pos="420"/>
          <w:tab w:val="clear" w:pos="840"/>
        </w:tabs>
        <w:autoSpaceDE/>
        <w:autoSpaceDN/>
        <w:adjustRightInd/>
        <w:spacing w:line="360" w:lineRule="auto"/>
        <w:ind w:left="420"/>
        <w:jc w:val="both"/>
        <w:rPr>
          <w:rFonts w:ascii="宋体" w:hAnsi="宋体" w:cs="Arial"/>
          <w:u w:val="single"/>
        </w:rPr>
      </w:pPr>
      <w:r>
        <w:rPr>
          <w:rFonts w:ascii="宋体" w:hAnsi="宋体" w:cs="Arial"/>
        </w:rPr>
        <w:t>注册资金：  经济性质：</w:t>
      </w:r>
    </w:p>
    <w:p w14:paraId="7D11AB4F">
      <w:pPr>
        <w:numPr>
          <w:ilvl w:val="1"/>
          <w:numId w:val="28"/>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 xml:space="preserve">公司开户银行名称及账号：     </w:t>
      </w:r>
    </w:p>
    <w:p w14:paraId="09C7C5BB">
      <w:pPr>
        <w:numPr>
          <w:ilvl w:val="1"/>
          <w:numId w:val="28"/>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 xml:space="preserve">营业注册执照号：   </w:t>
      </w:r>
    </w:p>
    <w:p w14:paraId="34A91BC5">
      <w:pPr>
        <w:numPr>
          <w:ilvl w:val="1"/>
          <w:numId w:val="28"/>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公司简介</w:t>
      </w:r>
    </w:p>
    <w:p w14:paraId="574C1A1B">
      <w:pPr>
        <w:spacing w:line="360" w:lineRule="auto"/>
        <w:ind w:left="360"/>
        <w:rPr>
          <w:rFonts w:ascii="宋体" w:hAnsi="宋体"/>
        </w:rPr>
      </w:pPr>
      <w:r>
        <w:rPr>
          <w:rFonts w:hint="eastAsia" w:ascii="宋体" w:hAnsi="宋体"/>
        </w:rPr>
        <w:t>文字描述：</w:t>
      </w:r>
      <w:r>
        <w:rPr>
          <w:rFonts w:hint="eastAsia" w:ascii="宋体" w:hAnsi="宋体"/>
          <w:bCs/>
          <w:lang w:val="en-GB"/>
        </w:rPr>
        <w:t>发展历程、经营规模及服务理念</w:t>
      </w:r>
      <w:r>
        <w:rPr>
          <w:rFonts w:hint="eastAsia" w:ascii="宋体" w:hAnsi="宋体"/>
        </w:rPr>
        <w:t>、技术力量、财务状况、</w:t>
      </w:r>
      <w:r>
        <w:rPr>
          <w:rFonts w:ascii="宋体" w:hAnsi="宋体"/>
        </w:rPr>
        <w:t>管理水平</w:t>
      </w:r>
      <w:r>
        <w:rPr>
          <w:rFonts w:hint="eastAsia" w:ascii="宋体" w:hAnsi="宋体"/>
        </w:rPr>
        <w:t>等方面进行阐述。</w:t>
      </w:r>
    </w:p>
    <w:p w14:paraId="25425A5C">
      <w:pPr>
        <w:numPr>
          <w:ilvl w:val="1"/>
          <w:numId w:val="28"/>
        </w:numPr>
        <w:tabs>
          <w:tab w:val="left" w:pos="420"/>
          <w:tab w:val="clear" w:pos="840"/>
        </w:tabs>
        <w:autoSpaceDE/>
        <w:autoSpaceDN/>
        <w:adjustRightInd/>
        <w:spacing w:line="360" w:lineRule="auto"/>
        <w:ind w:left="420"/>
        <w:jc w:val="both"/>
        <w:rPr>
          <w:rFonts w:ascii="宋体" w:hAnsi="宋体" w:cs="Arial"/>
        </w:rPr>
      </w:pPr>
      <w:r>
        <w:rPr>
          <w:rFonts w:hint="eastAsia" w:ascii="宋体" w:hAnsi="宋体" w:cs="Arial"/>
        </w:rPr>
        <w:t>股东及出资信息</w:t>
      </w:r>
    </w:p>
    <w:tbl>
      <w:tblPr>
        <w:tblStyle w:val="13"/>
        <w:tblW w:w="95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1489"/>
        <w:gridCol w:w="2049"/>
        <w:gridCol w:w="1957"/>
        <w:gridCol w:w="1595"/>
        <w:gridCol w:w="1595"/>
      </w:tblGrid>
      <w:tr w14:paraId="5A5DF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trPr>
        <w:tc>
          <w:tcPr>
            <w:tcW w:w="886" w:type="dxa"/>
            <w:vAlign w:val="center"/>
          </w:tcPr>
          <w:p w14:paraId="0B76EBAC">
            <w:pPr>
              <w:spacing w:line="360" w:lineRule="auto"/>
              <w:jc w:val="center"/>
              <w:rPr>
                <w:rFonts w:ascii="宋体" w:hAnsi="宋体" w:cs="Arial"/>
              </w:rPr>
            </w:pPr>
            <w:r>
              <w:rPr>
                <w:rFonts w:hint="eastAsia" w:ascii="宋体" w:hAnsi="宋体" w:cs="Arial"/>
              </w:rPr>
              <w:t>序号</w:t>
            </w:r>
          </w:p>
        </w:tc>
        <w:tc>
          <w:tcPr>
            <w:tcW w:w="1489" w:type="dxa"/>
            <w:vAlign w:val="center"/>
          </w:tcPr>
          <w:p w14:paraId="1F87DCD5">
            <w:pPr>
              <w:spacing w:line="276" w:lineRule="auto"/>
              <w:jc w:val="center"/>
              <w:rPr>
                <w:rFonts w:ascii="宋体" w:hAnsi="宋体" w:cs="Arial"/>
              </w:rPr>
            </w:pPr>
            <w:r>
              <w:rPr>
                <w:rFonts w:hint="eastAsia" w:ascii="宋体" w:hAnsi="宋体" w:cs="Arial"/>
              </w:rPr>
              <w:t>名称</w:t>
            </w:r>
          </w:p>
          <w:p w14:paraId="325F79F3">
            <w:pPr>
              <w:spacing w:line="276" w:lineRule="auto"/>
              <w:jc w:val="center"/>
              <w:rPr>
                <w:rFonts w:ascii="宋体" w:hAnsi="宋体" w:cs="Arial"/>
              </w:rPr>
            </w:pPr>
            <w:r>
              <w:rPr>
                <w:rFonts w:hint="eastAsia" w:ascii="宋体" w:hAnsi="宋体" w:cs="Arial"/>
              </w:rPr>
              <w:t>（姓名）</w:t>
            </w:r>
          </w:p>
        </w:tc>
        <w:tc>
          <w:tcPr>
            <w:tcW w:w="2049" w:type="dxa"/>
            <w:vAlign w:val="center"/>
          </w:tcPr>
          <w:p w14:paraId="53DEFFAE">
            <w:pPr>
              <w:pStyle w:val="11"/>
              <w:spacing w:before="0" w:beforeAutospacing="0" w:after="0" w:afterAutospacing="0" w:line="276" w:lineRule="auto"/>
              <w:jc w:val="center"/>
              <w:rPr>
                <w:rFonts w:cs="Arial"/>
                <w:b/>
                <w:sz w:val="21"/>
                <w:szCs w:val="21"/>
              </w:rPr>
            </w:pPr>
            <w:r>
              <w:rPr>
                <w:rFonts w:hint="eastAsia" w:cs="Arial"/>
                <w:b/>
                <w:sz w:val="21"/>
                <w:szCs w:val="21"/>
              </w:rPr>
              <w:t>统一社会信息用代码（身份证号）</w:t>
            </w:r>
          </w:p>
        </w:tc>
        <w:tc>
          <w:tcPr>
            <w:tcW w:w="1957" w:type="dxa"/>
            <w:vAlign w:val="center"/>
          </w:tcPr>
          <w:p w14:paraId="6EF0AE8C">
            <w:pPr>
              <w:pStyle w:val="11"/>
              <w:spacing w:before="0" w:beforeAutospacing="0" w:after="0" w:afterAutospacing="0" w:line="276" w:lineRule="auto"/>
              <w:jc w:val="center"/>
              <w:rPr>
                <w:rFonts w:cs="Arial"/>
                <w:b/>
                <w:sz w:val="21"/>
                <w:szCs w:val="21"/>
              </w:rPr>
            </w:pPr>
            <w:r>
              <w:rPr>
                <w:rFonts w:hint="eastAsia" w:cs="Arial"/>
                <w:b/>
                <w:sz w:val="21"/>
                <w:szCs w:val="21"/>
              </w:rPr>
              <w:t>出资额</w:t>
            </w:r>
          </w:p>
          <w:p w14:paraId="37F89E4D">
            <w:pPr>
              <w:pStyle w:val="11"/>
              <w:spacing w:before="0" w:beforeAutospacing="0" w:after="0" w:afterAutospacing="0" w:line="276" w:lineRule="auto"/>
              <w:jc w:val="center"/>
              <w:rPr>
                <w:rFonts w:cs="Arial"/>
                <w:b/>
                <w:sz w:val="21"/>
                <w:szCs w:val="21"/>
              </w:rPr>
            </w:pPr>
            <w:r>
              <w:rPr>
                <w:rFonts w:hint="eastAsia" w:cs="Arial"/>
                <w:b/>
                <w:sz w:val="21"/>
                <w:szCs w:val="21"/>
              </w:rPr>
              <w:t>（人民币  万元）</w:t>
            </w:r>
          </w:p>
        </w:tc>
        <w:tc>
          <w:tcPr>
            <w:tcW w:w="1595" w:type="dxa"/>
            <w:vAlign w:val="center"/>
          </w:tcPr>
          <w:p w14:paraId="6A438147">
            <w:pPr>
              <w:pStyle w:val="11"/>
              <w:spacing w:before="0" w:beforeAutospacing="0" w:after="0" w:afterAutospacing="0" w:line="276" w:lineRule="auto"/>
              <w:jc w:val="center"/>
              <w:rPr>
                <w:rFonts w:cs="Arial"/>
                <w:b/>
                <w:sz w:val="21"/>
                <w:szCs w:val="21"/>
              </w:rPr>
            </w:pPr>
            <w:r>
              <w:rPr>
                <w:rFonts w:hint="eastAsia" w:cs="Arial"/>
                <w:b/>
                <w:sz w:val="21"/>
                <w:szCs w:val="21"/>
              </w:rPr>
              <w:t>出资方式</w:t>
            </w:r>
          </w:p>
        </w:tc>
        <w:tc>
          <w:tcPr>
            <w:tcW w:w="1595" w:type="dxa"/>
            <w:vAlign w:val="center"/>
          </w:tcPr>
          <w:p w14:paraId="19354909">
            <w:pPr>
              <w:pStyle w:val="11"/>
              <w:spacing w:before="0" w:beforeAutospacing="0" w:after="0" w:afterAutospacing="0" w:line="276" w:lineRule="auto"/>
              <w:jc w:val="center"/>
              <w:rPr>
                <w:rFonts w:cs="Arial"/>
                <w:b/>
                <w:sz w:val="21"/>
                <w:szCs w:val="21"/>
              </w:rPr>
            </w:pPr>
            <w:r>
              <w:rPr>
                <w:rFonts w:hint="eastAsia" w:cs="Arial"/>
                <w:b/>
                <w:sz w:val="21"/>
                <w:szCs w:val="21"/>
              </w:rPr>
              <w:t>占全部股份比例</w:t>
            </w:r>
          </w:p>
        </w:tc>
      </w:tr>
      <w:tr w14:paraId="640F3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86" w:type="dxa"/>
          </w:tcPr>
          <w:p w14:paraId="08A891D3">
            <w:pPr>
              <w:spacing w:line="360" w:lineRule="auto"/>
              <w:jc w:val="center"/>
              <w:rPr>
                <w:rFonts w:ascii="宋体" w:hAnsi="宋体" w:cs="Arial"/>
              </w:rPr>
            </w:pPr>
            <w:r>
              <w:rPr>
                <w:rFonts w:hint="eastAsia" w:ascii="宋体" w:hAnsi="宋体" w:cs="Arial"/>
              </w:rPr>
              <w:t>1</w:t>
            </w:r>
          </w:p>
        </w:tc>
        <w:tc>
          <w:tcPr>
            <w:tcW w:w="1489" w:type="dxa"/>
          </w:tcPr>
          <w:p w14:paraId="6B4404BD">
            <w:pPr>
              <w:spacing w:line="360" w:lineRule="auto"/>
              <w:jc w:val="center"/>
              <w:rPr>
                <w:rFonts w:ascii="宋体" w:hAnsi="宋体" w:cs="Arial"/>
              </w:rPr>
            </w:pPr>
          </w:p>
        </w:tc>
        <w:tc>
          <w:tcPr>
            <w:tcW w:w="2049" w:type="dxa"/>
          </w:tcPr>
          <w:p w14:paraId="6A37639B">
            <w:pPr>
              <w:spacing w:line="360" w:lineRule="auto"/>
              <w:jc w:val="center"/>
              <w:rPr>
                <w:rFonts w:ascii="宋体" w:hAnsi="宋体" w:cs="Arial"/>
              </w:rPr>
            </w:pPr>
          </w:p>
        </w:tc>
        <w:tc>
          <w:tcPr>
            <w:tcW w:w="1957" w:type="dxa"/>
          </w:tcPr>
          <w:p w14:paraId="03696F02">
            <w:pPr>
              <w:spacing w:line="360" w:lineRule="auto"/>
              <w:jc w:val="center"/>
              <w:rPr>
                <w:rFonts w:ascii="宋体" w:hAnsi="宋体" w:cs="Arial"/>
              </w:rPr>
            </w:pPr>
          </w:p>
        </w:tc>
        <w:tc>
          <w:tcPr>
            <w:tcW w:w="1595" w:type="dxa"/>
          </w:tcPr>
          <w:p w14:paraId="4CA85E9A">
            <w:pPr>
              <w:spacing w:line="360" w:lineRule="auto"/>
              <w:jc w:val="center"/>
              <w:rPr>
                <w:rFonts w:ascii="宋体" w:hAnsi="宋体" w:cs="Arial"/>
              </w:rPr>
            </w:pPr>
          </w:p>
        </w:tc>
        <w:tc>
          <w:tcPr>
            <w:tcW w:w="1595" w:type="dxa"/>
          </w:tcPr>
          <w:p w14:paraId="744B04EC">
            <w:pPr>
              <w:spacing w:line="360" w:lineRule="auto"/>
              <w:jc w:val="center"/>
              <w:rPr>
                <w:rFonts w:ascii="宋体" w:hAnsi="宋体" w:cs="Arial"/>
              </w:rPr>
            </w:pPr>
          </w:p>
        </w:tc>
      </w:tr>
      <w:tr w14:paraId="258F9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86" w:type="dxa"/>
          </w:tcPr>
          <w:p w14:paraId="36C81E48">
            <w:pPr>
              <w:spacing w:line="360" w:lineRule="auto"/>
              <w:jc w:val="center"/>
              <w:rPr>
                <w:rFonts w:ascii="宋体" w:hAnsi="宋体" w:cs="Arial"/>
              </w:rPr>
            </w:pPr>
            <w:r>
              <w:rPr>
                <w:rFonts w:hint="eastAsia" w:ascii="宋体" w:hAnsi="宋体" w:cs="Arial"/>
              </w:rPr>
              <w:t>2</w:t>
            </w:r>
          </w:p>
        </w:tc>
        <w:tc>
          <w:tcPr>
            <w:tcW w:w="1489" w:type="dxa"/>
          </w:tcPr>
          <w:p w14:paraId="4C8CA730">
            <w:pPr>
              <w:spacing w:line="360" w:lineRule="auto"/>
              <w:jc w:val="center"/>
              <w:rPr>
                <w:rFonts w:ascii="宋体" w:hAnsi="宋体" w:cs="Arial"/>
              </w:rPr>
            </w:pPr>
          </w:p>
        </w:tc>
        <w:tc>
          <w:tcPr>
            <w:tcW w:w="2049" w:type="dxa"/>
          </w:tcPr>
          <w:p w14:paraId="416C9122">
            <w:pPr>
              <w:spacing w:line="360" w:lineRule="auto"/>
              <w:jc w:val="center"/>
              <w:rPr>
                <w:rFonts w:ascii="宋体" w:hAnsi="宋体" w:cs="Arial"/>
              </w:rPr>
            </w:pPr>
          </w:p>
        </w:tc>
        <w:tc>
          <w:tcPr>
            <w:tcW w:w="1957" w:type="dxa"/>
          </w:tcPr>
          <w:p w14:paraId="209C5E01">
            <w:pPr>
              <w:spacing w:line="360" w:lineRule="auto"/>
              <w:jc w:val="center"/>
              <w:rPr>
                <w:rFonts w:ascii="宋体" w:hAnsi="宋体" w:cs="Arial"/>
              </w:rPr>
            </w:pPr>
          </w:p>
        </w:tc>
        <w:tc>
          <w:tcPr>
            <w:tcW w:w="1595" w:type="dxa"/>
          </w:tcPr>
          <w:p w14:paraId="48B634B5">
            <w:pPr>
              <w:spacing w:line="360" w:lineRule="auto"/>
              <w:jc w:val="center"/>
              <w:rPr>
                <w:rFonts w:ascii="宋体" w:hAnsi="宋体" w:cs="Arial"/>
              </w:rPr>
            </w:pPr>
          </w:p>
        </w:tc>
        <w:tc>
          <w:tcPr>
            <w:tcW w:w="1595" w:type="dxa"/>
          </w:tcPr>
          <w:p w14:paraId="6DE929ED">
            <w:pPr>
              <w:spacing w:line="360" w:lineRule="auto"/>
              <w:jc w:val="center"/>
              <w:rPr>
                <w:rFonts w:ascii="宋体" w:hAnsi="宋体" w:cs="Arial"/>
              </w:rPr>
            </w:pPr>
          </w:p>
        </w:tc>
      </w:tr>
      <w:tr w14:paraId="1683F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86" w:type="dxa"/>
          </w:tcPr>
          <w:p w14:paraId="6039BE93">
            <w:pPr>
              <w:spacing w:line="360" w:lineRule="auto"/>
              <w:jc w:val="center"/>
              <w:rPr>
                <w:rFonts w:ascii="宋体" w:hAnsi="宋体" w:cs="Arial"/>
              </w:rPr>
            </w:pPr>
            <w:r>
              <w:rPr>
                <w:rFonts w:hint="eastAsia" w:ascii="宋体" w:hAnsi="宋体" w:cs="Arial"/>
              </w:rPr>
              <w:t>…</w:t>
            </w:r>
          </w:p>
        </w:tc>
        <w:tc>
          <w:tcPr>
            <w:tcW w:w="1489" w:type="dxa"/>
          </w:tcPr>
          <w:p w14:paraId="7CB285C3">
            <w:pPr>
              <w:spacing w:line="360" w:lineRule="auto"/>
              <w:jc w:val="center"/>
              <w:rPr>
                <w:rFonts w:ascii="宋体" w:hAnsi="宋体" w:cs="Arial"/>
              </w:rPr>
            </w:pPr>
          </w:p>
        </w:tc>
        <w:tc>
          <w:tcPr>
            <w:tcW w:w="2049" w:type="dxa"/>
          </w:tcPr>
          <w:p w14:paraId="77910B36">
            <w:pPr>
              <w:spacing w:line="360" w:lineRule="auto"/>
              <w:jc w:val="center"/>
              <w:rPr>
                <w:rFonts w:ascii="宋体" w:hAnsi="宋体" w:cs="Arial"/>
              </w:rPr>
            </w:pPr>
          </w:p>
        </w:tc>
        <w:tc>
          <w:tcPr>
            <w:tcW w:w="1957" w:type="dxa"/>
          </w:tcPr>
          <w:p w14:paraId="68CC96C9">
            <w:pPr>
              <w:spacing w:line="360" w:lineRule="auto"/>
              <w:jc w:val="center"/>
              <w:rPr>
                <w:rFonts w:ascii="宋体" w:hAnsi="宋体" w:cs="Arial"/>
              </w:rPr>
            </w:pPr>
          </w:p>
        </w:tc>
        <w:tc>
          <w:tcPr>
            <w:tcW w:w="1595" w:type="dxa"/>
          </w:tcPr>
          <w:p w14:paraId="3B11988B">
            <w:pPr>
              <w:spacing w:line="360" w:lineRule="auto"/>
              <w:jc w:val="center"/>
              <w:rPr>
                <w:rFonts w:ascii="宋体" w:hAnsi="宋体" w:cs="Arial"/>
              </w:rPr>
            </w:pPr>
          </w:p>
        </w:tc>
        <w:tc>
          <w:tcPr>
            <w:tcW w:w="1595" w:type="dxa"/>
          </w:tcPr>
          <w:p w14:paraId="5DDB4BCE">
            <w:pPr>
              <w:spacing w:line="360" w:lineRule="auto"/>
              <w:jc w:val="center"/>
              <w:rPr>
                <w:rFonts w:ascii="宋体" w:hAnsi="宋体" w:cs="Arial"/>
              </w:rPr>
            </w:pPr>
          </w:p>
        </w:tc>
      </w:tr>
    </w:tbl>
    <w:p w14:paraId="68CDA63C">
      <w:pPr>
        <w:spacing w:line="360" w:lineRule="auto"/>
        <w:rPr>
          <w:rFonts w:ascii="宋体" w:hAnsi="宋体" w:cs="Arial"/>
        </w:rPr>
      </w:pPr>
      <w:r>
        <w:rPr>
          <w:rFonts w:hint="eastAsia" w:ascii="宋体" w:hAnsi="宋体" w:cs="Arial"/>
        </w:rPr>
        <w:t>注：1. 主要股东或出资人为法人的，填写法人全称及统一社会信息用代码（尚未办理多证合一的填写组织机构代码）；为自然人的，填写自然人姓名和身份证号。</w:t>
      </w:r>
    </w:p>
    <w:p w14:paraId="7D1F4DD1">
      <w:pPr>
        <w:spacing w:line="360" w:lineRule="auto"/>
        <w:rPr>
          <w:rFonts w:ascii="宋体" w:hAnsi="宋体" w:cs="Arial"/>
        </w:rPr>
      </w:pPr>
      <w:r>
        <w:rPr>
          <w:rFonts w:hint="eastAsia" w:ascii="宋体" w:hAnsi="宋体" w:cs="Arial"/>
        </w:rPr>
        <w:t>2. 出资方式填写：货币、实物、工艺产权和非专利技术、土地使用权等。</w:t>
      </w:r>
    </w:p>
    <w:p w14:paraId="174D1BCF">
      <w:pPr>
        <w:spacing w:line="360" w:lineRule="auto"/>
        <w:rPr>
          <w:rFonts w:ascii="宋体" w:hAnsi="宋体" w:cs="Arial"/>
        </w:rPr>
      </w:pPr>
      <w:r>
        <w:rPr>
          <w:rFonts w:hint="eastAsia" w:ascii="宋体" w:hAnsi="宋体" w:cs="Arial"/>
        </w:rPr>
        <w:t>3. 响应供应商应按照占全部股份比例从大到小依次逐个股东填写，股东数量多于10个的，填写前10名，不足10个全部填写。同时响应供应商需附“国家企业信用信息公示系统”网页并加盖响应供应商单位公章。</w:t>
      </w:r>
    </w:p>
    <w:p w14:paraId="0905E4C3">
      <w:pPr>
        <w:numPr>
          <w:ilvl w:val="0"/>
          <w:numId w:val="28"/>
        </w:numPr>
        <w:autoSpaceDE/>
        <w:autoSpaceDN/>
        <w:adjustRightInd/>
        <w:spacing w:line="360" w:lineRule="auto"/>
        <w:jc w:val="both"/>
        <w:rPr>
          <w:rFonts w:ascii="宋体" w:hAnsi="宋体" w:cs="Arial"/>
        </w:rPr>
      </w:pPr>
      <w:r>
        <w:rPr>
          <w:rFonts w:ascii="宋体" w:hAnsi="宋体" w:cs="Arial"/>
        </w:rPr>
        <w:t>响应供应商获得国家有关部门颁发的资质：</w:t>
      </w:r>
    </w:p>
    <w:tbl>
      <w:tblPr>
        <w:tblStyle w:val="13"/>
        <w:tblW w:w="98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3"/>
        <w:gridCol w:w="2464"/>
        <w:gridCol w:w="2464"/>
        <w:gridCol w:w="2464"/>
      </w:tblGrid>
      <w:tr w14:paraId="56360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463" w:type="dxa"/>
            <w:tcBorders>
              <w:top w:val="single" w:color="auto" w:sz="12" w:space="0"/>
              <w:left w:val="single" w:color="auto" w:sz="12" w:space="0"/>
            </w:tcBorders>
          </w:tcPr>
          <w:p w14:paraId="5054237F">
            <w:pPr>
              <w:spacing w:line="360" w:lineRule="auto"/>
              <w:jc w:val="center"/>
              <w:rPr>
                <w:rFonts w:ascii="宋体" w:hAnsi="宋体" w:cs="Arial"/>
              </w:rPr>
            </w:pPr>
            <w:r>
              <w:rPr>
                <w:rFonts w:ascii="宋体" w:hAnsi="宋体" w:cs="Arial"/>
              </w:rPr>
              <w:t xml:space="preserve">  证书名称</w:t>
            </w:r>
          </w:p>
        </w:tc>
        <w:tc>
          <w:tcPr>
            <w:tcW w:w="2464" w:type="dxa"/>
            <w:tcBorders>
              <w:top w:val="single" w:color="auto" w:sz="12" w:space="0"/>
            </w:tcBorders>
          </w:tcPr>
          <w:p w14:paraId="5AA431BF">
            <w:pPr>
              <w:spacing w:line="360" w:lineRule="auto"/>
              <w:jc w:val="center"/>
              <w:rPr>
                <w:rFonts w:ascii="宋体" w:hAnsi="宋体" w:cs="Arial"/>
              </w:rPr>
            </w:pPr>
            <w:r>
              <w:rPr>
                <w:rFonts w:ascii="宋体" w:hAnsi="宋体" w:cs="Arial"/>
              </w:rPr>
              <w:t>发证单位</w:t>
            </w:r>
          </w:p>
        </w:tc>
        <w:tc>
          <w:tcPr>
            <w:tcW w:w="2464" w:type="dxa"/>
            <w:tcBorders>
              <w:top w:val="single" w:color="auto" w:sz="12" w:space="0"/>
            </w:tcBorders>
          </w:tcPr>
          <w:p w14:paraId="3F66BFA5">
            <w:pPr>
              <w:spacing w:line="360" w:lineRule="auto"/>
              <w:jc w:val="center"/>
              <w:rPr>
                <w:rFonts w:ascii="宋体" w:hAnsi="宋体" w:cs="Arial"/>
              </w:rPr>
            </w:pPr>
            <w:r>
              <w:rPr>
                <w:rFonts w:ascii="宋体" w:hAnsi="宋体" w:cs="Arial"/>
              </w:rPr>
              <w:t>证书等级</w:t>
            </w:r>
          </w:p>
        </w:tc>
        <w:tc>
          <w:tcPr>
            <w:tcW w:w="2464" w:type="dxa"/>
            <w:tcBorders>
              <w:top w:val="single" w:color="auto" w:sz="12" w:space="0"/>
              <w:right w:val="single" w:color="auto" w:sz="12" w:space="0"/>
            </w:tcBorders>
          </w:tcPr>
          <w:p w14:paraId="3073EEAE">
            <w:pPr>
              <w:spacing w:line="360" w:lineRule="auto"/>
              <w:jc w:val="center"/>
              <w:rPr>
                <w:rFonts w:ascii="宋体" w:hAnsi="宋体" w:cs="Arial"/>
              </w:rPr>
            </w:pPr>
            <w:r>
              <w:rPr>
                <w:rFonts w:ascii="宋体" w:hAnsi="宋体" w:cs="Arial"/>
              </w:rPr>
              <w:t>证书有效期</w:t>
            </w:r>
          </w:p>
        </w:tc>
      </w:tr>
      <w:tr w14:paraId="2AE53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dxa"/>
            <w:tcBorders>
              <w:left w:val="single" w:color="auto" w:sz="12" w:space="0"/>
            </w:tcBorders>
          </w:tcPr>
          <w:p w14:paraId="458530DA">
            <w:pPr>
              <w:spacing w:line="360" w:lineRule="auto"/>
              <w:jc w:val="center"/>
              <w:rPr>
                <w:rFonts w:ascii="宋体" w:hAnsi="宋体" w:cs="Arial"/>
              </w:rPr>
            </w:pPr>
          </w:p>
        </w:tc>
        <w:tc>
          <w:tcPr>
            <w:tcW w:w="2464" w:type="dxa"/>
          </w:tcPr>
          <w:p w14:paraId="48BE9B50">
            <w:pPr>
              <w:spacing w:line="360" w:lineRule="auto"/>
              <w:jc w:val="center"/>
              <w:rPr>
                <w:rFonts w:ascii="宋体" w:hAnsi="宋体" w:cs="Arial"/>
              </w:rPr>
            </w:pPr>
          </w:p>
        </w:tc>
        <w:tc>
          <w:tcPr>
            <w:tcW w:w="2464" w:type="dxa"/>
          </w:tcPr>
          <w:p w14:paraId="30A330C4">
            <w:pPr>
              <w:spacing w:line="360" w:lineRule="auto"/>
              <w:jc w:val="center"/>
              <w:rPr>
                <w:rFonts w:ascii="宋体" w:hAnsi="宋体" w:cs="Arial"/>
              </w:rPr>
            </w:pPr>
          </w:p>
        </w:tc>
        <w:tc>
          <w:tcPr>
            <w:tcW w:w="2464" w:type="dxa"/>
            <w:tcBorders>
              <w:right w:val="single" w:color="auto" w:sz="12" w:space="0"/>
            </w:tcBorders>
          </w:tcPr>
          <w:p w14:paraId="2A5361C6">
            <w:pPr>
              <w:spacing w:line="360" w:lineRule="auto"/>
              <w:jc w:val="center"/>
              <w:rPr>
                <w:rFonts w:ascii="宋体" w:hAnsi="宋体" w:cs="Arial"/>
              </w:rPr>
            </w:pPr>
          </w:p>
        </w:tc>
      </w:tr>
      <w:tr w14:paraId="4698D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dxa"/>
            <w:tcBorders>
              <w:left w:val="single" w:color="auto" w:sz="12" w:space="0"/>
              <w:bottom w:val="single" w:color="auto" w:sz="12" w:space="0"/>
            </w:tcBorders>
          </w:tcPr>
          <w:p w14:paraId="3D280E7A">
            <w:pPr>
              <w:spacing w:line="360" w:lineRule="auto"/>
              <w:jc w:val="center"/>
              <w:rPr>
                <w:rFonts w:ascii="宋体" w:hAnsi="宋体" w:cs="Arial"/>
              </w:rPr>
            </w:pPr>
          </w:p>
        </w:tc>
        <w:tc>
          <w:tcPr>
            <w:tcW w:w="2464" w:type="dxa"/>
            <w:tcBorders>
              <w:bottom w:val="single" w:color="auto" w:sz="12" w:space="0"/>
            </w:tcBorders>
          </w:tcPr>
          <w:p w14:paraId="312A366D">
            <w:pPr>
              <w:spacing w:line="360" w:lineRule="auto"/>
              <w:jc w:val="center"/>
              <w:rPr>
                <w:rFonts w:ascii="宋体" w:hAnsi="宋体" w:cs="Arial"/>
              </w:rPr>
            </w:pPr>
          </w:p>
        </w:tc>
        <w:tc>
          <w:tcPr>
            <w:tcW w:w="2464" w:type="dxa"/>
            <w:tcBorders>
              <w:bottom w:val="single" w:color="auto" w:sz="12" w:space="0"/>
            </w:tcBorders>
          </w:tcPr>
          <w:p w14:paraId="7B2BB90E">
            <w:pPr>
              <w:spacing w:line="360" w:lineRule="auto"/>
              <w:jc w:val="center"/>
              <w:rPr>
                <w:rFonts w:ascii="宋体" w:hAnsi="宋体" w:cs="Arial"/>
              </w:rPr>
            </w:pPr>
          </w:p>
        </w:tc>
        <w:tc>
          <w:tcPr>
            <w:tcW w:w="2464" w:type="dxa"/>
            <w:tcBorders>
              <w:bottom w:val="single" w:color="auto" w:sz="12" w:space="0"/>
              <w:right w:val="single" w:color="auto" w:sz="12" w:space="0"/>
            </w:tcBorders>
          </w:tcPr>
          <w:p w14:paraId="3B993926">
            <w:pPr>
              <w:spacing w:line="360" w:lineRule="auto"/>
              <w:jc w:val="center"/>
              <w:rPr>
                <w:rFonts w:ascii="宋体" w:hAnsi="宋体" w:cs="Arial"/>
              </w:rPr>
            </w:pPr>
          </w:p>
        </w:tc>
      </w:tr>
    </w:tbl>
    <w:p w14:paraId="29FCE112">
      <w:pPr>
        <w:spacing w:line="360" w:lineRule="auto"/>
        <w:rPr>
          <w:rFonts w:ascii="宋体" w:hAnsi="宋体" w:cs="Arial"/>
        </w:rPr>
      </w:pPr>
    </w:p>
    <w:p w14:paraId="24B2FA16">
      <w:pPr>
        <w:spacing w:line="360" w:lineRule="auto"/>
        <w:ind w:firstLine="447" w:firstLineChars="213"/>
        <w:rPr>
          <w:rFonts w:ascii="宋体" w:hAnsi="宋体" w:cs="Arial"/>
        </w:rPr>
      </w:pPr>
      <w:r>
        <w:rPr>
          <w:rFonts w:ascii="宋体" w:hAnsi="宋体" w:cs="Arial"/>
        </w:rPr>
        <w:t>我/我们声明以上所述是正确无误的，您有权进行您认为必要的所有调查</w:t>
      </w:r>
      <w:r>
        <w:rPr>
          <w:rFonts w:hint="eastAsia" w:ascii="宋体" w:hAnsi="宋体" w:cs="Arial"/>
        </w:rPr>
        <w:t>，</w:t>
      </w:r>
      <w:r>
        <w:rPr>
          <w:rFonts w:hint="eastAsia" w:hAnsi="宋体"/>
          <w:lang w:val="en-GB"/>
        </w:rPr>
        <w:t>如以上数据有虚假，一经查实，自行承担相关责任。</w:t>
      </w:r>
    </w:p>
    <w:p w14:paraId="38270AAF">
      <w:pPr>
        <w:spacing w:line="360" w:lineRule="auto"/>
        <w:rPr>
          <w:rFonts w:ascii="宋体" w:hAnsi="宋体" w:cs="Arial"/>
        </w:rPr>
      </w:pPr>
    </w:p>
    <w:p w14:paraId="3B628979">
      <w:pPr>
        <w:spacing w:line="500" w:lineRule="exact"/>
        <w:ind w:firstLine="420" w:firstLineChars="200"/>
        <w:rPr>
          <w:rFonts w:ascii="宋体" w:hAnsi="宋体" w:cs="Arial"/>
        </w:rPr>
      </w:pPr>
      <w:bookmarkStart w:id="89" w:name="_Toc43264525"/>
    </w:p>
    <w:p w14:paraId="6AAEF7CE">
      <w:pPr>
        <w:spacing w:line="500" w:lineRule="exact"/>
        <w:ind w:firstLine="420" w:firstLineChars="200"/>
        <w:rPr>
          <w:rFonts w:ascii="宋体" w:hAnsi="宋体" w:cs="Arial"/>
        </w:rPr>
      </w:pPr>
    </w:p>
    <w:p w14:paraId="7AFF4D91">
      <w:pPr>
        <w:spacing w:line="440" w:lineRule="exact"/>
        <w:rPr>
          <w:spacing w:val="4"/>
        </w:rPr>
      </w:pPr>
      <w:r>
        <w:rPr>
          <w:rFonts w:hint="eastAsia"/>
          <w:spacing w:val="4"/>
        </w:rPr>
        <w:t>响应供应商名称（单位盖公章）：</w:t>
      </w:r>
    </w:p>
    <w:p w14:paraId="244CD189">
      <w:pPr>
        <w:spacing w:line="440" w:lineRule="exact"/>
        <w:rPr>
          <w:spacing w:val="4"/>
          <w:u w:val="single"/>
        </w:rPr>
      </w:pPr>
      <w:r>
        <w:rPr>
          <w:rFonts w:hint="eastAsia"/>
          <w:spacing w:val="4"/>
        </w:rPr>
        <w:t>日期：</w:t>
      </w:r>
    </w:p>
    <w:p w14:paraId="4CED016E">
      <w:pPr>
        <w:numPr>
          <w:ilvl w:val="0"/>
          <w:numId w:val="22"/>
        </w:numPr>
        <w:autoSpaceDE/>
        <w:autoSpaceDN/>
        <w:adjustRightInd/>
        <w:spacing w:line="440" w:lineRule="exact"/>
        <w:ind w:hanging="780"/>
        <w:jc w:val="both"/>
        <w:rPr>
          <w:rFonts w:ascii="宋体"/>
          <w:bCs/>
        </w:rPr>
      </w:pPr>
      <w:r>
        <w:rPr>
          <w:spacing w:val="4"/>
        </w:rPr>
        <w:br w:type="page"/>
      </w:r>
    </w:p>
    <w:p w14:paraId="4D3B6E9F">
      <w:pPr>
        <w:autoSpaceDE/>
        <w:autoSpaceDN/>
        <w:adjustRightInd/>
        <w:spacing w:afterLines="50"/>
        <w:jc w:val="center"/>
        <w:outlineLvl w:val="2"/>
        <w:rPr>
          <w:rFonts w:ascii="仿宋_GB2312" w:eastAsia="仿宋_GB2312"/>
          <w:b/>
          <w:kern w:val="2"/>
          <w:sz w:val="28"/>
          <w:szCs w:val="28"/>
        </w:rPr>
      </w:pPr>
      <w:bookmarkStart w:id="90" w:name="_Toc50737333"/>
      <w:bookmarkStart w:id="91" w:name="_Toc50736481"/>
      <w:bookmarkStart w:id="92" w:name="_Toc410738990"/>
      <w:bookmarkStart w:id="93" w:name="_Toc50691044"/>
      <w:bookmarkStart w:id="94" w:name="_Toc416770271"/>
      <w:bookmarkStart w:id="95" w:name="_Toc50737301"/>
      <w:bookmarkStart w:id="96" w:name="_Toc52165085"/>
      <w:bookmarkStart w:id="97" w:name="_Toc410736191"/>
      <w:bookmarkStart w:id="98" w:name="_Toc275865617"/>
      <w:bookmarkStart w:id="99" w:name="_Toc416771382"/>
      <w:r>
        <w:rPr>
          <w:rFonts w:hint="eastAsia" w:ascii="仿宋_GB2312" w:eastAsia="仿宋_GB2312"/>
          <w:b/>
          <w:kern w:val="2"/>
          <w:sz w:val="28"/>
          <w:szCs w:val="28"/>
        </w:rPr>
        <w:t>20</w:t>
      </w:r>
      <w:r>
        <w:rPr>
          <w:rFonts w:hint="eastAsia" w:ascii="仿宋_GB2312" w:eastAsia="仿宋_GB2312"/>
          <w:b/>
          <w:kern w:val="2"/>
          <w:sz w:val="28"/>
          <w:szCs w:val="28"/>
          <w:lang w:val="en-US" w:eastAsia="zh-CN"/>
        </w:rPr>
        <w:t>21</w:t>
      </w:r>
      <w:r>
        <w:rPr>
          <w:rFonts w:hint="eastAsia" w:ascii="仿宋_GB2312" w:eastAsia="仿宋_GB2312"/>
          <w:b/>
          <w:kern w:val="2"/>
          <w:sz w:val="28"/>
          <w:szCs w:val="28"/>
        </w:rPr>
        <w:t>年1月1日以来同类项目情况一览表</w:t>
      </w:r>
      <w:bookmarkEnd w:id="89"/>
      <w:bookmarkEnd w:id="90"/>
      <w:bookmarkEnd w:id="91"/>
      <w:bookmarkEnd w:id="92"/>
      <w:bookmarkEnd w:id="93"/>
      <w:bookmarkEnd w:id="94"/>
      <w:bookmarkEnd w:id="95"/>
      <w:bookmarkEnd w:id="96"/>
      <w:bookmarkEnd w:id="97"/>
      <w:bookmarkEnd w:id="98"/>
      <w:bookmarkEnd w:id="99"/>
    </w:p>
    <w:p w14:paraId="0851BF3C">
      <w:pPr>
        <w:spacing w:line="440" w:lineRule="exact"/>
        <w:rPr>
          <w:rFonts w:hint="eastAsia" w:ascii="宋体" w:hAnsi="宋体" w:eastAsia="宋体"/>
          <w:b/>
          <w:lang w:eastAsia="zh-CN"/>
        </w:rPr>
      </w:pPr>
      <w:r>
        <w:rPr>
          <w:rFonts w:hint="eastAsia" w:ascii="宋体" w:hAnsi="宋体"/>
        </w:rPr>
        <w:t>项目编号：</w:t>
      </w:r>
      <w:r>
        <w:rPr>
          <w:rFonts w:hint="eastAsia" w:ascii="宋体" w:hAnsi="宋体"/>
          <w:lang w:eastAsia="zh-CN"/>
        </w:rPr>
        <w:t>GDQSST2024JC12002S</w:t>
      </w:r>
    </w:p>
    <w:tbl>
      <w:tblPr>
        <w:tblStyle w:val="13"/>
        <w:tblW w:w="904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56"/>
        <w:gridCol w:w="1128"/>
        <w:gridCol w:w="1267"/>
        <w:gridCol w:w="1519"/>
        <w:gridCol w:w="1115"/>
        <w:gridCol w:w="1629"/>
        <w:gridCol w:w="1826"/>
      </w:tblGrid>
      <w:tr w14:paraId="1B3BBA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556" w:type="dxa"/>
            <w:tcBorders>
              <w:top w:val="single" w:color="auto" w:sz="12" w:space="0"/>
              <w:bottom w:val="double" w:color="auto" w:sz="4" w:space="0"/>
            </w:tcBorders>
            <w:shd w:val="clear" w:color="auto" w:fill="EEECE1"/>
            <w:vAlign w:val="center"/>
          </w:tcPr>
          <w:p w14:paraId="13EFDEA6">
            <w:pPr>
              <w:snapToGrid w:val="0"/>
              <w:ind w:left="-84" w:leftChars="-40" w:right="-107" w:rightChars="-51"/>
              <w:jc w:val="center"/>
            </w:pPr>
            <w:r>
              <w:rPr>
                <w:rFonts w:hint="eastAsia"/>
              </w:rPr>
              <w:t>序号</w:t>
            </w:r>
          </w:p>
        </w:tc>
        <w:tc>
          <w:tcPr>
            <w:tcW w:w="1128" w:type="dxa"/>
            <w:tcBorders>
              <w:top w:val="single" w:color="auto" w:sz="12" w:space="0"/>
              <w:bottom w:val="double" w:color="auto" w:sz="4" w:space="0"/>
            </w:tcBorders>
            <w:shd w:val="clear" w:color="auto" w:fill="EEECE1"/>
            <w:vAlign w:val="center"/>
          </w:tcPr>
          <w:p w14:paraId="3241B437">
            <w:pPr>
              <w:snapToGrid w:val="0"/>
              <w:ind w:left="-84" w:leftChars="-40" w:right="-107" w:rightChars="-51"/>
              <w:jc w:val="center"/>
            </w:pPr>
            <w:r>
              <w:rPr>
                <w:rFonts w:hint="eastAsia"/>
              </w:rPr>
              <w:t>业主名称</w:t>
            </w:r>
          </w:p>
        </w:tc>
        <w:tc>
          <w:tcPr>
            <w:tcW w:w="1267" w:type="dxa"/>
            <w:tcBorders>
              <w:top w:val="single" w:color="auto" w:sz="12" w:space="0"/>
              <w:bottom w:val="double" w:color="auto" w:sz="4" w:space="0"/>
            </w:tcBorders>
            <w:shd w:val="clear" w:color="auto" w:fill="EEECE1"/>
            <w:vAlign w:val="center"/>
          </w:tcPr>
          <w:p w14:paraId="550A46DE">
            <w:pPr>
              <w:snapToGrid w:val="0"/>
              <w:ind w:left="-84" w:leftChars="-40" w:right="-107" w:rightChars="-51"/>
              <w:jc w:val="center"/>
            </w:pPr>
            <w:r>
              <w:rPr>
                <w:rFonts w:hint="eastAsia"/>
              </w:rPr>
              <w:t>项目名称</w:t>
            </w:r>
          </w:p>
        </w:tc>
        <w:tc>
          <w:tcPr>
            <w:tcW w:w="1519" w:type="dxa"/>
            <w:tcBorders>
              <w:top w:val="single" w:color="auto" w:sz="12" w:space="0"/>
              <w:bottom w:val="double" w:color="auto" w:sz="4" w:space="0"/>
            </w:tcBorders>
            <w:shd w:val="clear" w:color="auto" w:fill="EEECE1"/>
            <w:vAlign w:val="center"/>
          </w:tcPr>
          <w:p w14:paraId="2B346D31">
            <w:pPr>
              <w:snapToGrid w:val="0"/>
              <w:ind w:left="-84" w:leftChars="-40" w:right="-107" w:rightChars="-51"/>
              <w:jc w:val="center"/>
            </w:pPr>
            <w:r>
              <w:rPr>
                <w:rFonts w:hint="eastAsia" w:ascii="宋体" w:hAnsi="宋体"/>
              </w:rPr>
              <w:t>服务内容</w:t>
            </w:r>
          </w:p>
        </w:tc>
        <w:tc>
          <w:tcPr>
            <w:tcW w:w="1115" w:type="dxa"/>
            <w:tcBorders>
              <w:top w:val="single" w:color="auto" w:sz="12" w:space="0"/>
              <w:bottom w:val="double" w:color="auto" w:sz="4" w:space="0"/>
            </w:tcBorders>
            <w:shd w:val="clear" w:color="auto" w:fill="EEECE1"/>
            <w:vAlign w:val="center"/>
          </w:tcPr>
          <w:p w14:paraId="3EFE2A4F">
            <w:pPr>
              <w:snapToGrid w:val="0"/>
              <w:ind w:left="-84" w:leftChars="-40" w:right="-107" w:rightChars="-51"/>
              <w:jc w:val="center"/>
            </w:pPr>
            <w:r>
              <w:rPr>
                <w:rFonts w:hint="eastAsia"/>
              </w:rPr>
              <w:t>合同总价</w:t>
            </w:r>
          </w:p>
        </w:tc>
        <w:tc>
          <w:tcPr>
            <w:tcW w:w="1629" w:type="dxa"/>
            <w:tcBorders>
              <w:top w:val="single" w:color="auto" w:sz="12" w:space="0"/>
              <w:bottom w:val="double" w:color="auto" w:sz="4" w:space="0"/>
            </w:tcBorders>
            <w:shd w:val="clear" w:color="auto" w:fill="EEECE1"/>
            <w:vAlign w:val="center"/>
          </w:tcPr>
          <w:p w14:paraId="31127C1B">
            <w:pPr>
              <w:snapToGrid w:val="0"/>
              <w:ind w:left="-84" w:leftChars="-40" w:right="-107" w:rightChars="-51"/>
              <w:jc w:val="center"/>
            </w:pPr>
            <w:r>
              <w:rPr>
                <w:rFonts w:hint="eastAsia"/>
              </w:rPr>
              <w:t>签约及完成时间</w:t>
            </w:r>
          </w:p>
        </w:tc>
        <w:tc>
          <w:tcPr>
            <w:tcW w:w="1826" w:type="dxa"/>
            <w:tcBorders>
              <w:top w:val="single" w:color="auto" w:sz="12" w:space="0"/>
              <w:bottom w:val="double" w:color="auto" w:sz="4" w:space="0"/>
            </w:tcBorders>
            <w:shd w:val="clear" w:color="auto" w:fill="EEECE1"/>
            <w:vAlign w:val="center"/>
          </w:tcPr>
          <w:p w14:paraId="499B8B1F">
            <w:pPr>
              <w:snapToGrid w:val="0"/>
              <w:ind w:left="-84" w:leftChars="-40" w:right="-107" w:rightChars="-51"/>
              <w:jc w:val="center"/>
            </w:pPr>
            <w:r>
              <w:rPr>
                <w:rFonts w:hint="eastAsia"/>
              </w:rPr>
              <w:t>单位联系人及电话</w:t>
            </w:r>
          </w:p>
        </w:tc>
      </w:tr>
      <w:tr w14:paraId="523AC4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556" w:type="dxa"/>
            <w:vAlign w:val="center"/>
          </w:tcPr>
          <w:p w14:paraId="121E8DE1">
            <w:pPr>
              <w:numPr>
                <w:ilvl w:val="0"/>
                <w:numId w:val="29"/>
              </w:numPr>
              <w:tabs>
                <w:tab w:val="left" w:pos="142"/>
              </w:tabs>
              <w:autoSpaceDE/>
              <w:autoSpaceDN/>
              <w:adjustRightInd/>
              <w:jc w:val="center"/>
              <w:rPr>
                <w:rFonts w:ascii="宋体" w:hAnsi="宋体"/>
              </w:rPr>
            </w:pPr>
          </w:p>
        </w:tc>
        <w:tc>
          <w:tcPr>
            <w:tcW w:w="1128" w:type="dxa"/>
            <w:vAlign w:val="center"/>
          </w:tcPr>
          <w:p w14:paraId="43837B8A">
            <w:pPr>
              <w:snapToGrid w:val="0"/>
              <w:ind w:left="-84" w:leftChars="-40" w:right="-107" w:rightChars="-51"/>
              <w:jc w:val="center"/>
            </w:pPr>
          </w:p>
        </w:tc>
        <w:tc>
          <w:tcPr>
            <w:tcW w:w="1267" w:type="dxa"/>
            <w:vAlign w:val="center"/>
          </w:tcPr>
          <w:p w14:paraId="79ABF985">
            <w:pPr>
              <w:snapToGrid w:val="0"/>
              <w:ind w:left="-84" w:leftChars="-40" w:right="-107" w:rightChars="-51"/>
              <w:jc w:val="center"/>
            </w:pPr>
          </w:p>
        </w:tc>
        <w:tc>
          <w:tcPr>
            <w:tcW w:w="1519" w:type="dxa"/>
            <w:vAlign w:val="center"/>
          </w:tcPr>
          <w:p w14:paraId="3B84A4E0">
            <w:pPr>
              <w:snapToGrid w:val="0"/>
              <w:ind w:left="-84" w:leftChars="-40" w:right="-107" w:rightChars="-51"/>
              <w:jc w:val="center"/>
            </w:pPr>
          </w:p>
        </w:tc>
        <w:tc>
          <w:tcPr>
            <w:tcW w:w="1115" w:type="dxa"/>
            <w:vAlign w:val="center"/>
          </w:tcPr>
          <w:p w14:paraId="263EB169">
            <w:pPr>
              <w:snapToGrid w:val="0"/>
              <w:ind w:left="-84" w:leftChars="-40" w:right="-107" w:rightChars="-51"/>
              <w:jc w:val="center"/>
            </w:pPr>
          </w:p>
        </w:tc>
        <w:tc>
          <w:tcPr>
            <w:tcW w:w="1629" w:type="dxa"/>
            <w:vAlign w:val="center"/>
          </w:tcPr>
          <w:p w14:paraId="09F17F2A">
            <w:pPr>
              <w:snapToGrid w:val="0"/>
              <w:ind w:left="-84" w:leftChars="-40" w:right="-107" w:rightChars="-51"/>
              <w:jc w:val="center"/>
            </w:pPr>
          </w:p>
        </w:tc>
        <w:tc>
          <w:tcPr>
            <w:tcW w:w="1826" w:type="dxa"/>
            <w:vAlign w:val="center"/>
          </w:tcPr>
          <w:p w14:paraId="1DAB0163">
            <w:pPr>
              <w:snapToGrid w:val="0"/>
              <w:ind w:left="-84" w:leftChars="-40" w:right="-107" w:rightChars="-51"/>
              <w:jc w:val="center"/>
            </w:pPr>
          </w:p>
        </w:tc>
      </w:tr>
      <w:tr w14:paraId="76F7ED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5A89363B">
            <w:pPr>
              <w:numPr>
                <w:ilvl w:val="0"/>
                <w:numId w:val="29"/>
              </w:numPr>
              <w:tabs>
                <w:tab w:val="left" w:pos="142"/>
              </w:tabs>
              <w:autoSpaceDE/>
              <w:autoSpaceDN/>
              <w:adjustRightInd/>
              <w:jc w:val="center"/>
              <w:rPr>
                <w:rFonts w:ascii="宋体" w:hAnsi="宋体"/>
              </w:rPr>
            </w:pPr>
          </w:p>
        </w:tc>
        <w:tc>
          <w:tcPr>
            <w:tcW w:w="1128" w:type="dxa"/>
            <w:vAlign w:val="center"/>
          </w:tcPr>
          <w:p w14:paraId="44310D4F">
            <w:pPr>
              <w:snapToGrid w:val="0"/>
              <w:ind w:left="-84" w:leftChars="-40" w:right="-107" w:rightChars="-51"/>
              <w:jc w:val="center"/>
            </w:pPr>
          </w:p>
        </w:tc>
        <w:tc>
          <w:tcPr>
            <w:tcW w:w="1267" w:type="dxa"/>
            <w:vAlign w:val="center"/>
          </w:tcPr>
          <w:p w14:paraId="359FD58A">
            <w:pPr>
              <w:snapToGrid w:val="0"/>
              <w:ind w:left="-84" w:leftChars="-40" w:right="-107" w:rightChars="-51"/>
              <w:jc w:val="center"/>
            </w:pPr>
          </w:p>
        </w:tc>
        <w:tc>
          <w:tcPr>
            <w:tcW w:w="1519" w:type="dxa"/>
            <w:vAlign w:val="center"/>
          </w:tcPr>
          <w:p w14:paraId="4D046805">
            <w:pPr>
              <w:snapToGrid w:val="0"/>
              <w:ind w:left="-84" w:leftChars="-40" w:right="-107" w:rightChars="-51"/>
              <w:jc w:val="center"/>
            </w:pPr>
          </w:p>
        </w:tc>
        <w:tc>
          <w:tcPr>
            <w:tcW w:w="1115" w:type="dxa"/>
            <w:vAlign w:val="center"/>
          </w:tcPr>
          <w:p w14:paraId="05FD63DD">
            <w:pPr>
              <w:snapToGrid w:val="0"/>
              <w:ind w:left="-84" w:leftChars="-40" w:right="-107" w:rightChars="-51"/>
              <w:jc w:val="center"/>
            </w:pPr>
          </w:p>
        </w:tc>
        <w:tc>
          <w:tcPr>
            <w:tcW w:w="1629" w:type="dxa"/>
            <w:vAlign w:val="center"/>
          </w:tcPr>
          <w:p w14:paraId="25C65BFF">
            <w:pPr>
              <w:snapToGrid w:val="0"/>
              <w:ind w:left="-84" w:leftChars="-40" w:right="-107" w:rightChars="-51"/>
              <w:jc w:val="center"/>
            </w:pPr>
          </w:p>
        </w:tc>
        <w:tc>
          <w:tcPr>
            <w:tcW w:w="1826" w:type="dxa"/>
            <w:vAlign w:val="center"/>
          </w:tcPr>
          <w:p w14:paraId="313ED759">
            <w:pPr>
              <w:snapToGrid w:val="0"/>
              <w:ind w:left="-84" w:leftChars="-40" w:right="-107" w:rightChars="-51"/>
              <w:jc w:val="center"/>
            </w:pPr>
          </w:p>
        </w:tc>
      </w:tr>
      <w:tr w14:paraId="2F57A7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5517B1A6">
            <w:pPr>
              <w:numPr>
                <w:ilvl w:val="0"/>
                <w:numId w:val="29"/>
              </w:numPr>
              <w:tabs>
                <w:tab w:val="left" w:pos="142"/>
              </w:tabs>
              <w:autoSpaceDE/>
              <w:autoSpaceDN/>
              <w:adjustRightInd/>
              <w:jc w:val="center"/>
              <w:rPr>
                <w:rFonts w:ascii="宋体" w:hAnsi="宋体"/>
              </w:rPr>
            </w:pPr>
          </w:p>
        </w:tc>
        <w:tc>
          <w:tcPr>
            <w:tcW w:w="1128" w:type="dxa"/>
            <w:vAlign w:val="center"/>
          </w:tcPr>
          <w:p w14:paraId="343FCD70">
            <w:pPr>
              <w:snapToGrid w:val="0"/>
              <w:ind w:left="-84" w:leftChars="-40" w:right="-107" w:rightChars="-51"/>
              <w:jc w:val="center"/>
            </w:pPr>
          </w:p>
        </w:tc>
        <w:tc>
          <w:tcPr>
            <w:tcW w:w="1267" w:type="dxa"/>
            <w:vAlign w:val="center"/>
          </w:tcPr>
          <w:p w14:paraId="63112A14">
            <w:pPr>
              <w:snapToGrid w:val="0"/>
              <w:ind w:left="-84" w:leftChars="-40" w:right="-107" w:rightChars="-51"/>
              <w:jc w:val="center"/>
            </w:pPr>
          </w:p>
        </w:tc>
        <w:tc>
          <w:tcPr>
            <w:tcW w:w="1519" w:type="dxa"/>
            <w:vAlign w:val="center"/>
          </w:tcPr>
          <w:p w14:paraId="75FCF3EB">
            <w:pPr>
              <w:snapToGrid w:val="0"/>
              <w:ind w:left="-84" w:leftChars="-40" w:right="-107" w:rightChars="-51"/>
              <w:jc w:val="center"/>
            </w:pPr>
          </w:p>
        </w:tc>
        <w:tc>
          <w:tcPr>
            <w:tcW w:w="1115" w:type="dxa"/>
            <w:vAlign w:val="center"/>
          </w:tcPr>
          <w:p w14:paraId="6DE65A2C">
            <w:pPr>
              <w:snapToGrid w:val="0"/>
              <w:ind w:left="-84" w:leftChars="-40" w:right="-107" w:rightChars="-51"/>
              <w:jc w:val="center"/>
            </w:pPr>
          </w:p>
        </w:tc>
        <w:tc>
          <w:tcPr>
            <w:tcW w:w="1629" w:type="dxa"/>
            <w:vAlign w:val="center"/>
          </w:tcPr>
          <w:p w14:paraId="112F2224">
            <w:pPr>
              <w:snapToGrid w:val="0"/>
              <w:ind w:left="-84" w:leftChars="-40" w:right="-107" w:rightChars="-51"/>
              <w:jc w:val="center"/>
            </w:pPr>
          </w:p>
        </w:tc>
        <w:tc>
          <w:tcPr>
            <w:tcW w:w="1826" w:type="dxa"/>
            <w:vAlign w:val="center"/>
          </w:tcPr>
          <w:p w14:paraId="3D482E71">
            <w:pPr>
              <w:snapToGrid w:val="0"/>
              <w:ind w:left="-84" w:leftChars="-40" w:right="-107" w:rightChars="-51"/>
              <w:jc w:val="center"/>
            </w:pPr>
          </w:p>
        </w:tc>
      </w:tr>
    </w:tbl>
    <w:p w14:paraId="6343A580">
      <w:pPr>
        <w:snapToGrid w:val="0"/>
        <w:spacing w:line="360" w:lineRule="auto"/>
        <w:ind w:left="611" w:leftChars="-14" w:hanging="640" w:hangingChars="305"/>
        <w:rPr>
          <w:rFonts w:ascii="宋体" w:hAnsi="宋体"/>
        </w:rPr>
      </w:pPr>
      <w:r>
        <w:rPr>
          <w:rFonts w:hint="eastAsia"/>
          <w:bCs/>
        </w:rPr>
        <w:t>备注：</w:t>
      </w:r>
      <w:r>
        <w:rPr>
          <w:rFonts w:hint="eastAsia" w:ascii="宋体" w:hAnsi="宋体"/>
        </w:rPr>
        <w:t>根据评分表的要求提交相应资料。</w:t>
      </w:r>
    </w:p>
    <w:p w14:paraId="48A2DAE7">
      <w:pPr>
        <w:spacing w:line="500" w:lineRule="exact"/>
        <w:rPr>
          <w:rFonts w:ascii="宋体" w:hAnsi="宋体"/>
        </w:rPr>
      </w:pPr>
    </w:p>
    <w:bookmarkEnd w:id="86"/>
    <w:bookmarkEnd w:id="87"/>
    <w:p w14:paraId="7CB8B3DA">
      <w:pPr>
        <w:spacing w:line="440" w:lineRule="exact"/>
        <w:rPr>
          <w:spacing w:val="4"/>
        </w:rPr>
      </w:pPr>
      <w:r>
        <w:rPr>
          <w:rFonts w:hint="eastAsia"/>
          <w:spacing w:val="4"/>
        </w:rPr>
        <w:t>响应供应商名称（单位盖公章）：</w:t>
      </w:r>
    </w:p>
    <w:p w14:paraId="5A5C91C8">
      <w:pPr>
        <w:spacing w:line="440" w:lineRule="exact"/>
        <w:rPr>
          <w:spacing w:val="4"/>
          <w:u w:val="single"/>
        </w:rPr>
      </w:pPr>
      <w:r>
        <w:rPr>
          <w:rFonts w:hint="eastAsia"/>
          <w:spacing w:val="4"/>
        </w:rPr>
        <w:t>日期：</w:t>
      </w:r>
    </w:p>
    <w:p w14:paraId="1BE5554E">
      <w:pPr>
        <w:spacing w:line="520" w:lineRule="exact"/>
        <w:rPr>
          <w:rFonts w:ascii="宋体" w:hAnsi="宋体"/>
          <w:spacing w:val="4"/>
          <w:u w:val="single"/>
        </w:rPr>
      </w:pPr>
    </w:p>
    <w:p w14:paraId="26EF4942">
      <w:pPr>
        <w:spacing w:line="520" w:lineRule="exact"/>
        <w:rPr>
          <w:rFonts w:ascii="宋体" w:hAnsi="宋体"/>
          <w:spacing w:val="4"/>
          <w:u w:val="single"/>
        </w:rPr>
      </w:pPr>
    </w:p>
    <w:p w14:paraId="69AE2F14">
      <w:pPr>
        <w:spacing w:line="520" w:lineRule="exact"/>
        <w:rPr>
          <w:rFonts w:ascii="宋体" w:hAnsi="宋体"/>
          <w:spacing w:val="4"/>
          <w:u w:val="single"/>
        </w:rPr>
      </w:pPr>
    </w:p>
    <w:p w14:paraId="0BEEF6A2">
      <w:pPr>
        <w:spacing w:line="520" w:lineRule="exact"/>
        <w:rPr>
          <w:rFonts w:ascii="宋体" w:hAnsi="宋体"/>
          <w:spacing w:val="4"/>
          <w:u w:val="single"/>
        </w:rPr>
      </w:pPr>
    </w:p>
    <w:p w14:paraId="448D84FF">
      <w:pPr>
        <w:spacing w:line="520" w:lineRule="exact"/>
        <w:rPr>
          <w:rFonts w:ascii="宋体" w:hAnsi="宋体"/>
          <w:spacing w:val="4"/>
          <w:u w:val="single"/>
        </w:rPr>
      </w:pPr>
    </w:p>
    <w:p w14:paraId="52CF3F43">
      <w:pPr>
        <w:spacing w:line="520" w:lineRule="exact"/>
        <w:rPr>
          <w:rFonts w:ascii="宋体" w:hAnsi="宋体"/>
          <w:spacing w:val="4"/>
          <w:u w:val="single"/>
        </w:rPr>
      </w:pPr>
    </w:p>
    <w:p w14:paraId="258CB442">
      <w:pPr>
        <w:spacing w:line="520" w:lineRule="exact"/>
        <w:rPr>
          <w:rFonts w:ascii="宋体" w:hAnsi="宋体"/>
          <w:spacing w:val="4"/>
          <w:u w:val="single"/>
        </w:rPr>
      </w:pPr>
    </w:p>
    <w:p w14:paraId="0C345B81">
      <w:pPr>
        <w:spacing w:line="520" w:lineRule="exact"/>
        <w:rPr>
          <w:rFonts w:ascii="宋体" w:hAnsi="宋体"/>
          <w:spacing w:val="4"/>
          <w:u w:val="single"/>
        </w:rPr>
      </w:pPr>
    </w:p>
    <w:p w14:paraId="6F494517">
      <w:pPr>
        <w:spacing w:line="520" w:lineRule="exact"/>
        <w:rPr>
          <w:rFonts w:ascii="宋体" w:hAnsi="宋体"/>
          <w:spacing w:val="4"/>
          <w:u w:val="single"/>
        </w:rPr>
      </w:pPr>
    </w:p>
    <w:p w14:paraId="0B5AB727">
      <w:pPr>
        <w:spacing w:line="520" w:lineRule="exact"/>
        <w:rPr>
          <w:rFonts w:ascii="宋体" w:hAnsi="宋体"/>
          <w:spacing w:val="4"/>
          <w:u w:val="single"/>
        </w:rPr>
      </w:pPr>
    </w:p>
    <w:p w14:paraId="73CECD26">
      <w:pPr>
        <w:spacing w:line="520" w:lineRule="exact"/>
        <w:rPr>
          <w:rFonts w:ascii="宋体" w:hAnsi="宋体"/>
          <w:spacing w:val="4"/>
          <w:u w:val="single"/>
        </w:rPr>
      </w:pPr>
    </w:p>
    <w:p w14:paraId="68FBD05B">
      <w:pPr>
        <w:spacing w:line="520" w:lineRule="exact"/>
        <w:rPr>
          <w:rFonts w:ascii="宋体" w:hAnsi="宋体"/>
          <w:spacing w:val="4"/>
          <w:u w:val="single"/>
        </w:rPr>
      </w:pPr>
    </w:p>
    <w:p w14:paraId="1BE9A3C1">
      <w:pPr>
        <w:spacing w:line="520" w:lineRule="exact"/>
        <w:rPr>
          <w:rFonts w:ascii="宋体" w:hAnsi="宋体"/>
          <w:spacing w:val="4"/>
          <w:u w:val="single"/>
        </w:rPr>
      </w:pPr>
    </w:p>
    <w:p w14:paraId="11C624A8">
      <w:pPr>
        <w:spacing w:line="520" w:lineRule="exact"/>
        <w:rPr>
          <w:rFonts w:ascii="宋体" w:hAnsi="宋体"/>
          <w:spacing w:val="4"/>
          <w:u w:val="single"/>
        </w:rPr>
      </w:pPr>
    </w:p>
    <w:p w14:paraId="7BF7B6B5">
      <w:pPr>
        <w:spacing w:line="520" w:lineRule="exact"/>
        <w:rPr>
          <w:rFonts w:ascii="宋体" w:hAnsi="宋体"/>
          <w:spacing w:val="4"/>
          <w:u w:val="single"/>
        </w:rPr>
      </w:pPr>
    </w:p>
    <w:p w14:paraId="49741432">
      <w:pPr>
        <w:spacing w:line="520" w:lineRule="exact"/>
        <w:rPr>
          <w:rFonts w:ascii="宋体" w:hAnsi="宋体"/>
          <w:spacing w:val="4"/>
          <w:u w:val="single"/>
        </w:rPr>
      </w:pPr>
    </w:p>
    <w:p w14:paraId="4179C423">
      <w:pPr>
        <w:spacing w:line="520" w:lineRule="exact"/>
        <w:rPr>
          <w:rFonts w:ascii="宋体" w:hAnsi="宋体"/>
          <w:spacing w:val="4"/>
          <w:u w:val="single"/>
        </w:rPr>
      </w:pPr>
    </w:p>
    <w:p w14:paraId="6E80DC55">
      <w:pPr>
        <w:spacing w:line="520" w:lineRule="exact"/>
        <w:rPr>
          <w:rFonts w:ascii="宋体" w:hAnsi="宋体"/>
          <w:spacing w:val="4"/>
          <w:u w:val="single"/>
        </w:rPr>
      </w:pPr>
    </w:p>
    <w:p w14:paraId="1698AB12">
      <w:pPr>
        <w:autoSpaceDE/>
        <w:autoSpaceDN/>
        <w:adjustRightInd/>
        <w:spacing w:line="440" w:lineRule="exact"/>
        <w:ind w:left="780"/>
        <w:jc w:val="both"/>
        <w:rPr>
          <w:rFonts w:hAnsi="宋体"/>
          <w:bCs/>
        </w:rPr>
      </w:pPr>
    </w:p>
    <w:p w14:paraId="7DD77F2D">
      <w:pPr>
        <w:autoSpaceDE/>
        <w:autoSpaceDN/>
        <w:adjustRightInd/>
        <w:spacing w:afterLines="50"/>
        <w:jc w:val="center"/>
        <w:outlineLvl w:val="2"/>
        <w:rPr>
          <w:rFonts w:ascii="仿宋_GB2312" w:eastAsia="仿宋_GB2312"/>
          <w:b/>
          <w:kern w:val="2"/>
          <w:sz w:val="28"/>
          <w:szCs w:val="28"/>
        </w:rPr>
      </w:pPr>
      <w:bookmarkStart w:id="100" w:name="_Toc416771383"/>
      <w:bookmarkStart w:id="101" w:name="_Toc50737300"/>
      <w:bookmarkStart w:id="102" w:name="_Toc50737332"/>
      <w:bookmarkStart w:id="103" w:name="_Toc416770272"/>
      <w:bookmarkStart w:id="104" w:name="_Toc275865618"/>
      <w:bookmarkStart w:id="105" w:name="_Toc50736480"/>
      <w:bookmarkStart w:id="106" w:name="_Toc410738991"/>
      <w:bookmarkStart w:id="107" w:name="_Toc410736192"/>
      <w:bookmarkStart w:id="108" w:name="_Toc52165084"/>
      <w:bookmarkStart w:id="109" w:name="_Toc50691042"/>
      <w:r>
        <w:rPr>
          <w:rFonts w:hint="eastAsia" w:ascii="仿宋_GB2312" w:eastAsia="仿宋_GB2312"/>
          <w:b/>
          <w:kern w:val="2"/>
          <w:sz w:val="28"/>
          <w:szCs w:val="28"/>
        </w:rPr>
        <w:t>项目负责人及服务团队成员一览表</w:t>
      </w:r>
      <w:bookmarkEnd w:id="100"/>
      <w:bookmarkEnd w:id="101"/>
      <w:bookmarkEnd w:id="102"/>
      <w:bookmarkEnd w:id="103"/>
      <w:bookmarkEnd w:id="104"/>
      <w:bookmarkEnd w:id="105"/>
      <w:bookmarkEnd w:id="106"/>
      <w:bookmarkEnd w:id="107"/>
      <w:bookmarkEnd w:id="108"/>
      <w:bookmarkEnd w:id="109"/>
    </w:p>
    <w:p w14:paraId="631F782F">
      <w:pPr>
        <w:spacing w:line="440" w:lineRule="exact"/>
        <w:ind w:firstLine="210" w:firstLineChars="100"/>
        <w:rPr>
          <w:rFonts w:hint="eastAsia" w:ascii="宋体" w:hAnsi="宋体" w:eastAsia="宋体"/>
          <w:b/>
          <w:lang w:eastAsia="zh-CN"/>
        </w:rPr>
      </w:pPr>
      <w:r>
        <w:rPr>
          <w:rFonts w:hint="eastAsia" w:ascii="宋体" w:hAnsi="宋体"/>
        </w:rPr>
        <w:t>项目编号：</w:t>
      </w:r>
      <w:r>
        <w:rPr>
          <w:rFonts w:hint="eastAsia" w:ascii="宋体" w:hAnsi="宋体"/>
          <w:lang w:eastAsia="zh-CN"/>
        </w:rPr>
        <w:t>GDQSST2024JC12002S</w:t>
      </w:r>
    </w:p>
    <w:tbl>
      <w:tblPr>
        <w:tblStyle w:val="13"/>
        <w:tblW w:w="922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29"/>
        <w:gridCol w:w="1276"/>
        <w:gridCol w:w="922"/>
        <w:gridCol w:w="837"/>
        <w:gridCol w:w="960"/>
        <w:gridCol w:w="1140"/>
        <w:gridCol w:w="1002"/>
        <w:gridCol w:w="852"/>
        <w:gridCol w:w="1507"/>
      </w:tblGrid>
      <w:tr w14:paraId="660DAC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729" w:type="dxa"/>
            <w:tcBorders>
              <w:top w:val="single" w:color="auto" w:sz="12" w:space="0"/>
              <w:bottom w:val="double" w:color="auto" w:sz="4" w:space="0"/>
            </w:tcBorders>
            <w:shd w:val="clear" w:color="auto" w:fill="EEECE1"/>
            <w:vAlign w:val="center"/>
          </w:tcPr>
          <w:p w14:paraId="16D6867E">
            <w:pPr>
              <w:snapToGrid w:val="0"/>
              <w:ind w:left="-84" w:leftChars="-40" w:right="-107" w:rightChars="-51"/>
              <w:jc w:val="center"/>
            </w:pPr>
            <w:r>
              <w:rPr>
                <w:rFonts w:hint="eastAsia"/>
              </w:rPr>
              <w:t>序号</w:t>
            </w:r>
          </w:p>
        </w:tc>
        <w:tc>
          <w:tcPr>
            <w:tcW w:w="1276" w:type="dxa"/>
            <w:tcBorders>
              <w:top w:val="single" w:color="auto" w:sz="12" w:space="0"/>
              <w:bottom w:val="double" w:color="auto" w:sz="4" w:space="0"/>
            </w:tcBorders>
            <w:shd w:val="clear" w:color="auto" w:fill="EEECE1"/>
            <w:vAlign w:val="center"/>
          </w:tcPr>
          <w:p w14:paraId="5D6DE8CA">
            <w:pPr>
              <w:pStyle w:val="22"/>
              <w:keepNext w:val="0"/>
              <w:snapToGrid w:val="0"/>
              <w:spacing w:before="0" w:after="0" w:line="240" w:lineRule="auto"/>
              <w:ind w:left="-84" w:leftChars="-40" w:right="-107" w:rightChars="-51"/>
              <w:textAlignment w:val="auto"/>
              <w:rPr>
                <w:snapToGrid/>
                <w:spacing w:val="0"/>
                <w:kern w:val="2"/>
                <w:sz w:val="21"/>
                <w:szCs w:val="24"/>
              </w:rPr>
            </w:pPr>
            <w:r>
              <w:rPr>
                <w:rFonts w:hint="eastAsia"/>
                <w:snapToGrid/>
                <w:spacing w:val="0"/>
                <w:kern w:val="2"/>
                <w:sz w:val="21"/>
                <w:szCs w:val="24"/>
              </w:rPr>
              <w:t>姓名</w:t>
            </w:r>
          </w:p>
        </w:tc>
        <w:tc>
          <w:tcPr>
            <w:tcW w:w="922" w:type="dxa"/>
            <w:tcBorders>
              <w:top w:val="single" w:color="auto" w:sz="12" w:space="0"/>
              <w:bottom w:val="double" w:color="auto" w:sz="4" w:space="0"/>
            </w:tcBorders>
            <w:shd w:val="clear" w:color="auto" w:fill="EEECE1"/>
            <w:vAlign w:val="center"/>
          </w:tcPr>
          <w:p w14:paraId="19445AC9">
            <w:pPr>
              <w:snapToGrid w:val="0"/>
              <w:ind w:left="-84" w:leftChars="-40" w:right="-107" w:rightChars="-51"/>
              <w:jc w:val="center"/>
            </w:pPr>
            <w:r>
              <w:rPr>
                <w:rFonts w:hint="eastAsia"/>
              </w:rPr>
              <w:t>性别</w:t>
            </w:r>
          </w:p>
        </w:tc>
        <w:tc>
          <w:tcPr>
            <w:tcW w:w="837" w:type="dxa"/>
            <w:tcBorders>
              <w:top w:val="single" w:color="auto" w:sz="12" w:space="0"/>
              <w:bottom w:val="double" w:color="auto" w:sz="4" w:space="0"/>
            </w:tcBorders>
            <w:shd w:val="clear" w:color="auto" w:fill="EEECE1"/>
            <w:vAlign w:val="center"/>
          </w:tcPr>
          <w:p w14:paraId="3A53CF71">
            <w:pPr>
              <w:snapToGrid w:val="0"/>
              <w:ind w:left="-84" w:leftChars="-40" w:right="-107" w:rightChars="-51"/>
              <w:jc w:val="center"/>
            </w:pPr>
            <w:r>
              <w:rPr>
                <w:rFonts w:hint="eastAsia"/>
              </w:rPr>
              <w:t>年龄</w:t>
            </w:r>
          </w:p>
        </w:tc>
        <w:tc>
          <w:tcPr>
            <w:tcW w:w="960" w:type="dxa"/>
            <w:tcBorders>
              <w:top w:val="single" w:color="auto" w:sz="12" w:space="0"/>
              <w:bottom w:val="double" w:color="auto" w:sz="4" w:space="0"/>
            </w:tcBorders>
            <w:shd w:val="clear" w:color="auto" w:fill="EEECE1"/>
            <w:vAlign w:val="center"/>
          </w:tcPr>
          <w:p w14:paraId="3BF935B5">
            <w:pPr>
              <w:snapToGrid w:val="0"/>
              <w:ind w:left="-84" w:leftChars="-40" w:right="-107" w:rightChars="-51"/>
              <w:jc w:val="center"/>
            </w:pPr>
            <w:r>
              <w:rPr>
                <w:rFonts w:hint="eastAsia"/>
              </w:rPr>
              <w:t>学历</w:t>
            </w:r>
          </w:p>
        </w:tc>
        <w:tc>
          <w:tcPr>
            <w:tcW w:w="1140" w:type="dxa"/>
            <w:tcBorders>
              <w:top w:val="single" w:color="auto" w:sz="12" w:space="0"/>
              <w:bottom w:val="double" w:color="auto" w:sz="4" w:space="0"/>
            </w:tcBorders>
            <w:shd w:val="clear" w:color="auto" w:fill="EEECE1"/>
            <w:vAlign w:val="center"/>
          </w:tcPr>
          <w:p w14:paraId="61B3288E">
            <w:pPr>
              <w:snapToGrid w:val="0"/>
              <w:ind w:left="-84" w:leftChars="-40" w:right="-107" w:rightChars="-51"/>
              <w:jc w:val="center"/>
            </w:pPr>
            <w:r>
              <w:rPr>
                <w:rFonts w:hint="eastAsia"/>
              </w:rPr>
              <w:t>职称</w:t>
            </w:r>
          </w:p>
        </w:tc>
        <w:tc>
          <w:tcPr>
            <w:tcW w:w="1002" w:type="dxa"/>
            <w:tcBorders>
              <w:top w:val="single" w:color="auto" w:sz="12" w:space="0"/>
              <w:bottom w:val="double" w:color="auto" w:sz="4" w:space="0"/>
            </w:tcBorders>
            <w:shd w:val="clear" w:color="auto" w:fill="EEECE1"/>
            <w:vAlign w:val="center"/>
          </w:tcPr>
          <w:p w14:paraId="6268E646">
            <w:pPr>
              <w:snapToGrid w:val="0"/>
              <w:ind w:left="-84" w:leftChars="-40" w:right="-107" w:rightChars="-51"/>
              <w:jc w:val="center"/>
            </w:pPr>
            <w:r>
              <w:rPr>
                <w:rFonts w:hint="eastAsia"/>
              </w:rPr>
              <w:t>专业</w:t>
            </w:r>
          </w:p>
        </w:tc>
        <w:tc>
          <w:tcPr>
            <w:tcW w:w="852" w:type="dxa"/>
            <w:tcBorders>
              <w:top w:val="single" w:color="auto" w:sz="12" w:space="0"/>
              <w:bottom w:val="double" w:color="auto" w:sz="4" w:space="0"/>
            </w:tcBorders>
            <w:shd w:val="clear" w:color="auto" w:fill="EEECE1"/>
            <w:vAlign w:val="center"/>
          </w:tcPr>
          <w:p w14:paraId="659B75B8">
            <w:pPr>
              <w:snapToGrid w:val="0"/>
              <w:ind w:left="-84" w:leftChars="-40" w:right="-107" w:rightChars="-51"/>
              <w:jc w:val="center"/>
            </w:pPr>
            <w:r>
              <w:rPr>
                <w:rFonts w:hint="eastAsia"/>
              </w:rPr>
              <w:t>经验年限</w:t>
            </w:r>
          </w:p>
        </w:tc>
        <w:tc>
          <w:tcPr>
            <w:tcW w:w="1507" w:type="dxa"/>
            <w:tcBorders>
              <w:top w:val="single" w:color="auto" w:sz="12" w:space="0"/>
              <w:bottom w:val="double" w:color="auto" w:sz="4" w:space="0"/>
            </w:tcBorders>
            <w:shd w:val="clear" w:color="auto" w:fill="EEECE1"/>
            <w:vAlign w:val="center"/>
          </w:tcPr>
          <w:p w14:paraId="6CE34A11">
            <w:pPr>
              <w:snapToGrid w:val="0"/>
              <w:ind w:left="-84" w:leftChars="-40" w:right="-107" w:rightChars="-51"/>
              <w:jc w:val="center"/>
            </w:pPr>
            <w:r>
              <w:rPr>
                <w:rFonts w:hint="eastAsia"/>
              </w:rPr>
              <w:t>拟担任职务或承担工作内容</w:t>
            </w:r>
          </w:p>
        </w:tc>
      </w:tr>
      <w:tr w14:paraId="3B2D9D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29" w:type="dxa"/>
            <w:vAlign w:val="center"/>
          </w:tcPr>
          <w:p w14:paraId="326DDB6D">
            <w:pPr>
              <w:numPr>
                <w:ilvl w:val="0"/>
                <w:numId w:val="30"/>
              </w:numPr>
              <w:tabs>
                <w:tab w:val="left" w:pos="142"/>
              </w:tabs>
              <w:autoSpaceDE/>
              <w:autoSpaceDN/>
              <w:adjustRightInd/>
              <w:jc w:val="center"/>
              <w:rPr>
                <w:rFonts w:ascii="宋体" w:hAnsi="宋体"/>
              </w:rPr>
            </w:pPr>
          </w:p>
        </w:tc>
        <w:tc>
          <w:tcPr>
            <w:tcW w:w="1276" w:type="dxa"/>
            <w:vAlign w:val="center"/>
          </w:tcPr>
          <w:p w14:paraId="1CCCF111">
            <w:pPr>
              <w:jc w:val="center"/>
              <w:rPr>
                <w:rFonts w:ascii="宋体" w:hAnsi="宋体"/>
              </w:rPr>
            </w:pPr>
          </w:p>
        </w:tc>
        <w:tc>
          <w:tcPr>
            <w:tcW w:w="922" w:type="dxa"/>
            <w:vAlign w:val="center"/>
          </w:tcPr>
          <w:p w14:paraId="5284837F">
            <w:pPr>
              <w:jc w:val="center"/>
              <w:rPr>
                <w:rFonts w:ascii="宋体" w:hAnsi="宋体"/>
              </w:rPr>
            </w:pPr>
          </w:p>
        </w:tc>
        <w:tc>
          <w:tcPr>
            <w:tcW w:w="837" w:type="dxa"/>
            <w:vAlign w:val="center"/>
          </w:tcPr>
          <w:p w14:paraId="7AB53254">
            <w:pPr>
              <w:jc w:val="center"/>
              <w:rPr>
                <w:rFonts w:ascii="宋体" w:hAnsi="宋体"/>
              </w:rPr>
            </w:pPr>
          </w:p>
        </w:tc>
        <w:tc>
          <w:tcPr>
            <w:tcW w:w="960" w:type="dxa"/>
            <w:vAlign w:val="center"/>
          </w:tcPr>
          <w:p w14:paraId="6CD208D9">
            <w:pPr>
              <w:jc w:val="center"/>
              <w:rPr>
                <w:rFonts w:ascii="宋体" w:hAnsi="宋体"/>
              </w:rPr>
            </w:pPr>
          </w:p>
        </w:tc>
        <w:tc>
          <w:tcPr>
            <w:tcW w:w="1140" w:type="dxa"/>
            <w:vAlign w:val="center"/>
          </w:tcPr>
          <w:p w14:paraId="0F51505D">
            <w:pPr>
              <w:jc w:val="center"/>
              <w:rPr>
                <w:rFonts w:ascii="宋体" w:hAnsi="宋体"/>
              </w:rPr>
            </w:pPr>
          </w:p>
        </w:tc>
        <w:tc>
          <w:tcPr>
            <w:tcW w:w="1002" w:type="dxa"/>
            <w:vAlign w:val="center"/>
          </w:tcPr>
          <w:p w14:paraId="18871AD1">
            <w:pPr>
              <w:jc w:val="center"/>
              <w:rPr>
                <w:rFonts w:ascii="宋体" w:hAnsi="宋体"/>
              </w:rPr>
            </w:pPr>
          </w:p>
        </w:tc>
        <w:tc>
          <w:tcPr>
            <w:tcW w:w="852" w:type="dxa"/>
            <w:vAlign w:val="center"/>
          </w:tcPr>
          <w:p w14:paraId="4A3F3B24">
            <w:pPr>
              <w:jc w:val="center"/>
              <w:rPr>
                <w:rFonts w:ascii="宋体" w:hAnsi="宋体"/>
              </w:rPr>
            </w:pPr>
          </w:p>
        </w:tc>
        <w:tc>
          <w:tcPr>
            <w:tcW w:w="1507" w:type="dxa"/>
            <w:vAlign w:val="center"/>
          </w:tcPr>
          <w:p w14:paraId="280ABFD5">
            <w:pPr>
              <w:jc w:val="center"/>
              <w:rPr>
                <w:rFonts w:ascii="宋体" w:hAnsi="宋体"/>
              </w:rPr>
            </w:pPr>
          </w:p>
        </w:tc>
      </w:tr>
      <w:tr w14:paraId="5F5125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29" w:type="dxa"/>
            <w:vAlign w:val="center"/>
          </w:tcPr>
          <w:p w14:paraId="5BA69F62">
            <w:pPr>
              <w:numPr>
                <w:ilvl w:val="0"/>
                <w:numId w:val="30"/>
              </w:numPr>
              <w:tabs>
                <w:tab w:val="left" w:pos="142"/>
              </w:tabs>
              <w:autoSpaceDE/>
              <w:autoSpaceDN/>
              <w:adjustRightInd/>
              <w:jc w:val="center"/>
              <w:rPr>
                <w:rFonts w:ascii="宋体" w:hAnsi="宋体"/>
              </w:rPr>
            </w:pPr>
          </w:p>
        </w:tc>
        <w:tc>
          <w:tcPr>
            <w:tcW w:w="1276" w:type="dxa"/>
            <w:vAlign w:val="center"/>
          </w:tcPr>
          <w:p w14:paraId="532D3B1D">
            <w:pPr>
              <w:jc w:val="center"/>
              <w:rPr>
                <w:rFonts w:ascii="宋体" w:hAnsi="宋体"/>
              </w:rPr>
            </w:pPr>
          </w:p>
        </w:tc>
        <w:tc>
          <w:tcPr>
            <w:tcW w:w="922" w:type="dxa"/>
            <w:vAlign w:val="center"/>
          </w:tcPr>
          <w:p w14:paraId="1BBA2E7A">
            <w:pPr>
              <w:jc w:val="center"/>
              <w:rPr>
                <w:rFonts w:ascii="宋体" w:hAnsi="宋体"/>
              </w:rPr>
            </w:pPr>
          </w:p>
        </w:tc>
        <w:tc>
          <w:tcPr>
            <w:tcW w:w="837" w:type="dxa"/>
            <w:vAlign w:val="center"/>
          </w:tcPr>
          <w:p w14:paraId="2E961D29">
            <w:pPr>
              <w:jc w:val="center"/>
              <w:rPr>
                <w:rFonts w:ascii="宋体" w:hAnsi="宋体"/>
              </w:rPr>
            </w:pPr>
          </w:p>
        </w:tc>
        <w:tc>
          <w:tcPr>
            <w:tcW w:w="960" w:type="dxa"/>
            <w:vAlign w:val="center"/>
          </w:tcPr>
          <w:p w14:paraId="01B728A2">
            <w:pPr>
              <w:jc w:val="center"/>
              <w:rPr>
                <w:rFonts w:ascii="宋体" w:hAnsi="宋体"/>
              </w:rPr>
            </w:pPr>
          </w:p>
        </w:tc>
        <w:tc>
          <w:tcPr>
            <w:tcW w:w="1140" w:type="dxa"/>
            <w:vAlign w:val="center"/>
          </w:tcPr>
          <w:p w14:paraId="46D63888">
            <w:pPr>
              <w:jc w:val="center"/>
              <w:rPr>
                <w:rFonts w:ascii="宋体" w:hAnsi="宋体"/>
              </w:rPr>
            </w:pPr>
          </w:p>
        </w:tc>
        <w:tc>
          <w:tcPr>
            <w:tcW w:w="1002" w:type="dxa"/>
            <w:vAlign w:val="center"/>
          </w:tcPr>
          <w:p w14:paraId="7A210FEC">
            <w:pPr>
              <w:jc w:val="center"/>
              <w:rPr>
                <w:rFonts w:ascii="宋体" w:hAnsi="宋体"/>
              </w:rPr>
            </w:pPr>
          </w:p>
        </w:tc>
        <w:tc>
          <w:tcPr>
            <w:tcW w:w="852" w:type="dxa"/>
            <w:vAlign w:val="center"/>
          </w:tcPr>
          <w:p w14:paraId="6DC8A251">
            <w:pPr>
              <w:jc w:val="center"/>
              <w:rPr>
                <w:rFonts w:ascii="宋体" w:hAnsi="宋体"/>
              </w:rPr>
            </w:pPr>
          </w:p>
        </w:tc>
        <w:tc>
          <w:tcPr>
            <w:tcW w:w="1507" w:type="dxa"/>
            <w:vAlign w:val="center"/>
          </w:tcPr>
          <w:p w14:paraId="7E638025">
            <w:pPr>
              <w:jc w:val="center"/>
              <w:rPr>
                <w:rFonts w:ascii="宋体" w:hAnsi="宋体"/>
              </w:rPr>
            </w:pPr>
          </w:p>
        </w:tc>
      </w:tr>
      <w:tr w14:paraId="545C7E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29" w:type="dxa"/>
            <w:vAlign w:val="center"/>
          </w:tcPr>
          <w:p w14:paraId="40F12338">
            <w:pPr>
              <w:numPr>
                <w:ilvl w:val="0"/>
                <w:numId w:val="30"/>
              </w:numPr>
              <w:tabs>
                <w:tab w:val="left" w:pos="142"/>
              </w:tabs>
              <w:autoSpaceDE/>
              <w:autoSpaceDN/>
              <w:adjustRightInd/>
              <w:jc w:val="center"/>
              <w:rPr>
                <w:rFonts w:ascii="宋体" w:hAnsi="宋体"/>
              </w:rPr>
            </w:pPr>
          </w:p>
        </w:tc>
        <w:tc>
          <w:tcPr>
            <w:tcW w:w="1276" w:type="dxa"/>
            <w:vAlign w:val="center"/>
          </w:tcPr>
          <w:p w14:paraId="4350F2B7">
            <w:pPr>
              <w:jc w:val="center"/>
              <w:rPr>
                <w:rFonts w:ascii="宋体" w:hAnsi="宋体"/>
              </w:rPr>
            </w:pPr>
          </w:p>
        </w:tc>
        <w:tc>
          <w:tcPr>
            <w:tcW w:w="922" w:type="dxa"/>
            <w:vAlign w:val="center"/>
          </w:tcPr>
          <w:p w14:paraId="7B810238">
            <w:pPr>
              <w:jc w:val="center"/>
              <w:rPr>
                <w:rFonts w:ascii="宋体" w:hAnsi="宋体"/>
              </w:rPr>
            </w:pPr>
          </w:p>
        </w:tc>
        <w:tc>
          <w:tcPr>
            <w:tcW w:w="837" w:type="dxa"/>
            <w:vAlign w:val="center"/>
          </w:tcPr>
          <w:p w14:paraId="2B584AFD">
            <w:pPr>
              <w:jc w:val="center"/>
              <w:rPr>
                <w:rFonts w:ascii="宋体" w:hAnsi="宋体"/>
              </w:rPr>
            </w:pPr>
          </w:p>
        </w:tc>
        <w:tc>
          <w:tcPr>
            <w:tcW w:w="960" w:type="dxa"/>
            <w:vAlign w:val="center"/>
          </w:tcPr>
          <w:p w14:paraId="2F02C69D">
            <w:pPr>
              <w:jc w:val="center"/>
              <w:rPr>
                <w:rFonts w:ascii="宋体" w:hAnsi="宋体"/>
              </w:rPr>
            </w:pPr>
          </w:p>
        </w:tc>
        <w:tc>
          <w:tcPr>
            <w:tcW w:w="1140" w:type="dxa"/>
            <w:vAlign w:val="center"/>
          </w:tcPr>
          <w:p w14:paraId="0E03FEA9">
            <w:pPr>
              <w:jc w:val="center"/>
              <w:rPr>
                <w:rFonts w:ascii="宋体" w:hAnsi="宋体"/>
              </w:rPr>
            </w:pPr>
          </w:p>
        </w:tc>
        <w:tc>
          <w:tcPr>
            <w:tcW w:w="1002" w:type="dxa"/>
            <w:vAlign w:val="center"/>
          </w:tcPr>
          <w:p w14:paraId="1E347A38">
            <w:pPr>
              <w:jc w:val="center"/>
              <w:rPr>
                <w:rFonts w:ascii="宋体" w:hAnsi="宋体"/>
              </w:rPr>
            </w:pPr>
          </w:p>
        </w:tc>
        <w:tc>
          <w:tcPr>
            <w:tcW w:w="852" w:type="dxa"/>
            <w:vAlign w:val="center"/>
          </w:tcPr>
          <w:p w14:paraId="0A9EA462">
            <w:pPr>
              <w:jc w:val="center"/>
              <w:rPr>
                <w:rFonts w:ascii="宋体" w:hAnsi="宋体"/>
              </w:rPr>
            </w:pPr>
          </w:p>
        </w:tc>
        <w:tc>
          <w:tcPr>
            <w:tcW w:w="1507" w:type="dxa"/>
            <w:vAlign w:val="center"/>
          </w:tcPr>
          <w:p w14:paraId="1826C614">
            <w:pPr>
              <w:jc w:val="center"/>
              <w:rPr>
                <w:rFonts w:ascii="宋体" w:hAnsi="宋体"/>
              </w:rPr>
            </w:pPr>
          </w:p>
        </w:tc>
      </w:tr>
      <w:tr w14:paraId="64F20B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29" w:type="dxa"/>
            <w:vAlign w:val="center"/>
          </w:tcPr>
          <w:p w14:paraId="75A84E62">
            <w:pPr>
              <w:numPr>
                <w:ilvl w:val="0"/>
                <w:numId w:val="30"/>
              </w:numPr>
              <w:tabs>
                <w:tab w:val="left" w:pos="142"/>
              </w:tabs>
              <w:autoSpaceDE/>
              <w:autoSpaceDN/>
              <w:adjustRightInd/>
              <w:jc w:val="center"/>
              <w:rPr>
                <w:rFonts w:ascii="宋体" w:hAnsi="宋体"/>
              </w:rPr>
            </w:pPr>
          </w:p>
        </w:tc>
        <w:tc>
          <w:tcPr>
            <w:tcW w:w="1276" w:type="dxa"/>
            <w:vAlign w:val="center"/>
          </w:tcPr>
          <w:p w14:paraId="1412B9E7">
            <w:pPr>
              <w:jc w:val="center"/>
              <w:rPr>
                <w:rFonts w:ascii="宋体" w:hAnsi="宋体"/>
              </w:rPr>
            </w:pPr>
          </w:p>
        </w:tc>
        <w:tc>
          <w:tcPr>
            <w:tcW w:w="922" w:type="dxa"/>
            <w:vAlign w:val="center"/>
          </w:tcPr>
          <w:p w14:paraId="0F1F345E">
            <w:pPr>
              <w:jc w:val="center"/>
              <w:rPr>
                <w:rFonts w:ascii="宋体" w:hAnsi="宋体"/>
              </w:rPr>
            </w:pPr>
          </w:p>
        </w:tc>
        <w:tc>
          <w:tcPr>
            <w:tcW w:w="837" w:type="dxa"/>
            <w:vAlign w:val="center"/>
          </w:tcPr>
          <w:p w14:paraId="07826844">
            <w:pPr>
              <w:jc w:val="center"/>
              <w:rPr>
                <w:rFonts w:ascii="宋体" w:hAnsi="宋体"/>
              </w:rPr>
            </w:pPr>
          </w:p>
        </w:tc>
        <w:tc>
          <w:tcPr>
            <w:tcW w:w="960" w:type="dxa"/>
            <w:vAlign w:val="center"/>
          </w:tcPr>
          <w:p w14:paraId="5E2531A8">
            <w:pPr>
              <w:jc w:val="center"/>
              <w:rPr>
                <w:rFonts w:ascii="宋体" w:hAnsi="宋体"/>
              </w:rPr>
            </w:pPr>
          </w:p>
        </w:tc>
        <w:tc>
          <w:tcPr>
            <w:tcW w:w="1140" w:type="dxa"/>
            <w:vAlign w:val="center"/>
          </w:tcPr>
          <w:p w14:paraId="2A9FD241">
            <w:pPr>
              <w:jc w:val="center"/>
              <w:rPr>
                <w:rFonts w:ascii="宋体" w:hAnsi="宋体"/>
              </w:rPr>
            </w:pPr>
          </w:p>
        </w:tc>
        <w:tc>
          <w:tcPr>
            <w:tcW w:w="1002" w:type="dxa"/>
            <w:vAlign w:val="center"/>
          </w:tcPr>
          <w:p w14:paraId="1EDE6CFB">
            <w:pPr>
              <w:jc w:val="center"/>
              <w:rPr>
                <w:rFonts w:ascii="宋体" w:hAnsi="宋体"/>
              </w:rPr>
            </w:pPr>
          </w:p>
        </w:tc>
        <w:tc>
          <w:tcPr>
            <w:tcW w:w="852" w:type="dxa"/>
            <w:vAlign w:val="center"/>
          </w:tcPr>
          <w:p w14:paraId="17C26292">
            <w:pPr>
              <w:jc w:val="center"/>
              <w:rPr>
                <w:rFonts w:ascii="宋体" w:hAnsi="宋体"/>
              </w:rPr>
            </w:pPr>
          </w:p>
        </w:tc>
        <w:tc>
          <w:tcPr>
            <w:tcW w:w="1507" w:type="dxa"/>
            <w:vAlign w:val="center"/>
          </w:tcPr>
          <w:p w14:paraId="5469214F">
            <w:pPr>
              <w:jc w:val="center"/>
              <w:rPr>
                <w:rFonts w:ascii="宋体" w:hAnsi="宋体"/>
              </w:rPr>
            </w:pPr>
          </w:p>
        </w:tc>
      </w:tr>
    </w:tbl>
    <w:p w14:paraId="6AA236E1">
      <w:pPr>
        <w:snapToGrid w:val="0"/>
        <w:spacing w:line="360" w:lineRule="auto"/>
        <w:ind w:left="607" w:leftChars="86" w:hanging="426" w:hangingChars="203"/>
        <w:rPr>
          <w:rFonts w:ascii="宋体" w:hAnsi="宋体"/>
        </w:rPr>
      </w:pPr>
      <w:r>
        <w:rPr>
          <w:rFonts w:hint="eastAsia"/>
          <w:bCs/>
        </w:rPr>
        <w:t>备注：</w:t>
      </w:r>
      <w:r>
        <w:rPr>
          <w:rFonts w:hint="eastAsia" w:ascii="宋体" w:hAnsi="宋体"/>
        </w:rPr>
        <w:t>根据评分表的要求提交相应资料。</w:t>
      </w:r>
    </w:p>
    <w:p w14:paraId="79D165AA">
      <w:pPr>
        <w:spacing w:line="500" w:lineRule="exact"/>
        <w:rPr>
          <w:rFonts w:ascii="宋体" w:hAnsi="宋体"/>
          <w:spacing w:val="4"/>
        </w:rPr>
      </w:pPr>
    </w:p>
    <w:p w14:paraId="193685B6">
      <w:pPr>
        <w:spacing w:line="440" w:lineRule="exact"/>
        <w:ind w:firstLine="109" w:firstLineChars="50"/>
        <w:rPr>
          <w:spacing w:val="4"/>
        </w:rPr>
      </w:pPr>
      <w:r>
        <w:rPr>
          <w:rFonts w:hint="eastAsia"/>
          <w:spacing w:val="4"/>
        </w:rPr>
        <w:t>响应供应商名称（单位盖公章）：</w:t>
      </w:r>
    </w:p>
    <w:p w14:paraId="3784D93E">
      <w:pPr>
        <w:spacing w:line="440" w:lineRule="exact"/>
        <w:ind w:firstLine="109" w:firstLineChars="50"/>
        <w:rPr>
          <w:spacing w:val="4"/>
          <w:u w:val="single"/>
        </w:rPr>
      </w:pPr>
      <w:r>
        <w:rPr>
          <w:rFonts w:hint="eastAsia"/>
          <w:spacing w:val="4"/>
        </w:rPr>
        <w:t>日期：</w:t>
      </w:r>
    </w:p>
    <w:p w14:paraId="5AB933E8">
      <w:pPr>
        <w:spacing w:line="520" w:lineRule="exact"/>
        <w:rPr>
          <w:rFonts w:ascii="宋体" w:hAnsi="宋体"/>
          <w:spacing w:val="4"/>
          <w:u w:val="single"/>
        </w:rPr>
      </w:pPr>
    </w:p>
    <w:p w14:paraId="27EC791F">
      <w:pPr>
        <w:spacing w:line="440" w:lineRule="exact"/>
        <w:rPr>
          <w:spacing w:val="4"/>
          <w:u w:val="single"/>
        </w:rPr>
      </w:pPr>
    </w:p>
    <w:p w14:paraId="43E410F2">
      <w:pPr>
        <w:spacing w:line="440" w:lineRule="exact"/>
        <w:rPr>
          <w:spacing w:val="4"/>
          <w:u w:val="single"/>
        </w:rPr>
      </w:pPr>
    </w:p>
    <w:p w14:paraId="507690C0">
      <w:pPr>
        <w:widowControl/>
        <w:autoSpaceDE/>
        <w:autoSpaceDN/>
        <w:adjustRightInd/>
        <w:rPr>
          <w:spacing w:val="4"/>
          <w:u w:val="single"/>
        </w:rPr>
      </w:pPr>
    </w:p>
    <w:p w14:paraId="6787C7FC">
      <w:pPr>
        <w:widowControl/>
        <w:autoSpaceDE/>
        <w:autoSpaceDN/>
        <w:adjustRightInd/>
        <w:rPr>
          <w:spacing w:val="4"/>
          <w:u w:val="single"/>
        </w:rPr>
      </w:pPr>
    </w:p>
    <w:p w14:paraId="55A8889B">
      <w:pPr>
        <w:widowControl/>
        <w:autoSpaceDE/>
        <w:autoSpaceDN/>
        <w:adjustRightInd/>
        <w:rPr>
          <w:spacing w:val="4"/>
          <w:u w:val="single"/>
        </w:rPr>
      </w:pPr>
    </w:p>
    <w:p w14:paraId="4E4F60EB">
      <w:pPr>
        <w:widowControl/>
        <w:autoSpaceDE/>
        <w:autoSpaceDN/>
        <w:adjustRightInd/>
        <w:rPr>
          <w:spacing w:val="4"/>
          <w:u w:val="single"/>
        </w:rPr>
      </w:pPr>
    </w:p>
    <w:p w14:paraId="4D620FE3">
      <w:pPr>
        <w:widowControl/>
        <w:autoSpaceDE/>
        <w:autoSpaceDN/>
        <w:adjustRightInd/>
        <w:rPr>
          <w:spacing w:val="4"/>
          <w:u w:val="single"/>
        </w:rPr>
      </w:pPr>
    </w:p>
    <w:p w14:paraId="0227A4C1">
      <w:pPr>
        <w:widowControl/>
        <w:autoSpaceDE/>
        <w:autoSpaceDN/>
        <w:adjustRightInd/>
        <w:rPr>
          <w:spacing w:val="4"/>
          <w:u w:val="single"/>
        </w:rPr>
      </w:pPr>
    </w:p>
    <w:p w14:paraId="36C9C625">
      <w:pPr>
        <w:widowControl/>
        <w:autoSpaceDE/>
        <w:autoSpaceDN/>
        <w:adjustRightInd/>
        <w:rPr>
          <w:spacing w:val="4"/>
          <w:u w:val="single"/>
        </w:rPr>
      </w:pPr>
    </w:p>
    <w:p w14:paraId="7A9792E7">
      <w:pPr>
        <w:widowControl/>
        <w:autoSpaceDE/>
        <w:autoSpaceDN/>
        <w:adjustRightInd/>
        <w:rPr>
          <w:spacing w:val="4"/>
          <w:u w:val="single"/>
        </w:rPr>
      </w:pPr>
    </w:p>
    <w:p w14:paraId="79A7809C">
      <w:pPr>
        <w:widowControl/>
        <w:autoSpaceDE/>
        <w:autoSpaceDN/>
        <w:adjustRightInd/>
        <w:rPr>
          <w:spacing w:val="4"/>
          <w:u w:val="single"/>
        </w:rPr>
      </w:pPr>
    </w:p>
    <w:p w14:paraId="39B9D2CE">
      <w:pPr>
        <w:widowControl/>
        <w:autoSpaceDE/>
        <w:autoSpaceDN/>
        <w:adjustRightInd/>
        <w:rPr>
          <w:spacing w:val="4"/>
          <w:u w:val="single"/>
        </w:rPr>
      </w:pPr>
    </w:p>
    <w:p w14:paraId="4E231C3B">
      <w:pPr>
        <w:widowControl/>
        <w:autoSpaceDE/>
        <w:autoSpaceDN/>
        <w:adjustRightInd/>
        <w:rPr>
          <w:spacing w:val="4"/>
          <w:u w:val="single"/>
        </w:rPr>
      </w:pPr>
    </w:p>
    <w:p w14:paraId="09E9D374">
      <w:pPr>
        <w:widowControl/>
        <w:autoSpaceDE/>
        <w:autoSpaceDN/>
        <w:adjustRightInd/>
        <w:rPr>
          <w:spacing w:val="4"/>
          <w:u w:val="single"/>
        </w:rPr>
      </w:pPr>
    </w:p>
    <w:p w14:paraId="71BB6672">
      <w:pPr>
        <w:widowControl/>
        <w:autoSpaceDE/>
        <w:autoSpaceDN/>
        <w:adjustRightInd/>
        <w:rPr>
          <w:spacing w:val="4"/>
          <w:u w:val="single"/>
        </w:rPr>
      </w:pPr>
    </w:p>
    <w:p w14:paraId="4D57906C">
      <w:pPr>
        <w:widowControl/>
        <w:autoSpaceDE/>
        <w:autoSpaceDN/>
        <w:adjustRightInd/>
        <w:rPr>
          <w:spacing w:val="4"/>
          <w:u w:val="single"/>
        </w:rPr>
      </w:pPr>
    </w:p>
    <w:p w14:paraId="5B760F0D">
      <w:pPr>
        <w:widowControl/>
        <w:autoSpaceDE/>
        <w:autoSpaceDN/>
        <w:adjustRightInd/>
        <w:rPr>
          <w:spacing w:val="4"/>
          <w:u w:val="single"/>
        </w:rPr>
      </w:pPr>
    </w:p>
    <w:p w14:paraId="48EE8C54">
      <w:pPr>
        <w:widowControl/>
        <w:autoSpaceDE/>
        <w:autoSpaceDN/>
        <w:adjustRightInd/>
        <w:rPr>
          <w:spacing w:val="4"/>
          <w:u w:val="single"/>
        </w:rPr>
      </w:pPr>
    </w:p>
    <w:p w14:paraId="522DA995">
      <w:pPr>
        <w:widowControl/>
        <w:autoSpaceDE/>
        <w:autoSpaceDN/>
        <w:adjustRightInd/>
        <w:rPr>
          <w:spacing w:val="4"/>
          <w:u w:val="single"/>
        </w:rPr>
      </w:pPr>
    </w:p>
    <w:p w14:paraId="34268747">
      <w:pPr>
        <w:widowControl/>
        <w:autoSpaceDE/>
        <w:autoSpaceDN/>
        <w:adjustRightInd/>
        <w:rPr>
          <w:spacing w:val="4"/>
          <w:u w:val="single"/>
        </w:rPr>
      </w:pPr>
    </w:p>
    <w:p w14:paraId="5AE2673C">
      <w:pPr>
        <w:widowControl/>
        <w:autoSpaceDE/>
        <w:autoSpaceDN/>
        <w:adjustRightInd/>
        <w:rPr>
          <w:spacing w:val="4"/>
          <w:u w:val="single"/>
        </w:rPr>
      </w:pPr>
    </w:p>
    <w:p w14:paraId="7A55870F">
      <w:pPr>
        <w:widowControl/>
        <w:autoSpaceDE/>
        <w:autoSpaceDN/>
        <w:adjustRightInd/>
        <w:rPr>
          <w:spacing w:val="4"/>
          <w:u w:val="single"/>
        </w:rPr>
      </w:pPr>
    </w:p>
    <w:p w14:paraId="5E743DA8">
      <w:pPr>
        <w:widowControl/>
        <w:autoSpaceDE/>
        <w:autoSpaceDN/>
        <w:adjustRightInd/>
        <w:rPr>
          <w:spacing w:val="4"/>
          <w:u w:val="single"/>
        </w:rPr>
      </w:pPr>
    </w:p>
    <w:p w14:paraId="470EC07E">
      <w:pPr>
        <w:widowControl/>
        <w:autoSpaceDE/>
        <w:autoSpaceDN/>
        <w:adjustRightInd/>
        <w:rPr>
          <w:spacing w:val="4"/>
          <w:u w:val="single"/>
        </w:rPr>
      </w:pPr>
    </w:p>
    <w:p w14:paraId="786F0233">
      <w:pPr>
        <w:widowControl/>
        <w:autoSpaceDE/>
        <w:autoSpaceDN/>
        <w:adjustRightInd/>
        <w:rPr>
          <w:spacing w:val="4"/>
          <w:u w:val="single"/>
        </w:rPr>
      </w:pPr>
    </w:p>
    <w:p w14:paraId="78CD7248">
      <w:pPr>
        <w:widowControl/>
        <w:autoSpaceDE/>
        <w:autoSpaceDN/>
        <w:adjustRightInd/>
        <w:rPr>
          <w:spacing w:val="4"/>
          <w:u w:val="single"/>
        </w:rPr>
      </w:pPr>
    </w:p>
    <w:p w14:paraId="0BB583CE">
      <w:pPr>
        <w:widowControl/>
        <w:autoSpaceDE/>
        <w:autoSpaceDN/>
        <w:adjustRightInd/>
        <w:rPr>
          <w:spacing w:val="4"/>
          <w:u w:val="single"/>
        </w:rPr>
      </w:pPr>
    </w:p>
    <w:p w14:paraId="3DD8C517">
      <w:pPr>
        <w:widowControl/>
        <w:autoSpaceDE/>
        <w:autoSpaceDN/>
        <w:adjustRightInd/>
        <w:rPr>
          <w:spacing w:val="4"/>
          <w:u w:val="single"/>
        </w:rPr>
      </w:pPr>
    </w:p>
    <w:p w14:paraId="6EA890AC">
      <w:pPr>
        <w:spacing w:line="440" w:lineRule="exact"/>
        <w:rPr>
          <w:spacing w:val="4"/>
          <w:u w:val="single"/>
        </w:rPr>
      </w:pPr>
    </w:p>
    <w:p w14:paraId="208ED253">
      <w:pPr>
        <w:autoSpaceDE/>
        <w:autoSpaceDN/>
        <w:adjustRightInd/>
        <w:spacing w:afterLines="50"/>
        <w:jc w:val="center"/>
        <w:outlineLvl w:val="2"/>
        <w:rPr>
          <w:rFonts w:ascii="仿宋_GB2312" w:eastAsia="仿宋_GB2312"/>
          <w:b/>
          <w:kern w:val="2"/>
          <w:sz w:val="28"/>
          <w:szCs w:val="28"/>
        </w:rPr>
      </w:pPr>
      <w:bookmarkStart w:id="110" w:name="_Toc416770274"/>
      <w:bookmarkStart w:id="111" w:name="_Toc410738993"/>
      <w:bookmarkStart w:id="112" w:name="_Toc410736194"/>
      <w:bookmarkStart w:id="113" w:name="_Toc416771385"/>
      <w:r>
        <w:rPr>
          <w:rFonts w:hint="eastAsia" w:ascii="仿宋_GB2312" w:eastAsia="仿宋_GB2312"/>
          <w:b/>
          <w:kern w:val="2"/>
          <w:sz w:val="28"/>
          <w:szCs w:val="28"/>
        </w:rPr>
        <w:t>合同条款响应一览表</w:t>
      </w:r>
      <w:bookmarkEnd w:id="110"/>
      <w:bookmarkEnd w:id="111"/>
      <w:bookmarkEnd w:id="112"/>
      <w:bookmarkEnd w:id="113"/>
    </w:p>
    <w:p w14:paraId="0316C058">
      <w:pPr>
        <w:autoSpaceDE/>
        <w:autoSpaceDN/>
        <w:adjustRightInd/>
        <w:spacing w:afterLines="50"/>
        <w:rPr>
          <w:rFonts w:hint="eastAsia" w:ascii="仿宋_GB2312" w:eastAsia="宋体"/>
          <w:b/>
          <w:kern w:val="2"/>
          <w:sz w:val="28"/>
          <w:szCs w:val="28"/>
          <w:lang w:eastAsia="zh-CN"/>
        </w:rPr>
      </w:pPr>
      <w:r>
        <w:rPr>
          <w:rFonts w:hint="eastAsia" w:ascii="宋体" w:hAnsi="宋体"/>
        </w:rPr>
        <w:t>项目编号：</w:t>
      </w:r>
      <w:r>
        <w:rPr>
          <w:rFonts w:hint="eastAsia" w:ascii="宋体" w:hAnsi="宋体"/>
          <w:lang w:eastAsia="zh-CN"/>
        </w:rPr>
        <w:t>GDQSST2024JC12002S</w:t>
      </w:r>
    </w:p>
    <w:tbl>
      <w:tblPr>
        <w:tblStyle w:val="13"/>
        <w:tblW w:w="9409" w:type="dxa"/>
        <w:tblInd w:w="-72"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42"/>
        <w:gridCol w:w="3094"/>
        <w:gridCol w:w="2575"/>
        <w:gridCol w:w="3098"/>
      </w:tblGrid>
      <w:tr w14:paraId="62221E7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94" w:hRule="atLeast"/>
        </w:trPr>
        <w:tc>
          <w:tcPr>
            <w:tcW w:w="642" w:type="dxa"/>
            <w:shd w:val="clear" w:color="auto" w:fill="EEECE1"/>
            <w:vAlign w:val="center"/>
          </w:tcPr>
          <w:p w14:paraId="2B4E185E">
            <w:pPr>
              <w:ind w:left="-109" w:leftChars="-52" w:right="-113" w:rightChars="-54"/>
              <w:jc w:val="center"/>
              <w:rPr>
                <w:rFonts w:ascii="宋体" w:hAnsi="宋体"/>
              </w:rPr>
            </w:pPr>
            <w:r>
              <w:rPr>
                <w:rFonts w:hint="eastAsia" w:ascii="宋体" w:hAnsi="宋体"/>
              </w:rPr>
              <w:t>序号</w:t>
            </w:r>
          </w:p>
        </w:tc>
        <w:tc>
          <w:tcPr>
            <w:tcW w:w="3094" w:type="dxa"/>
            <w:shd w:val="clear" w:color="auto" w:fill="EEECE1"/>
            <w:vAlign w:val="center"/>
          </w:tcPr>
          <w:p w14:paraId="17417127">
            <w:pPr>
              <w:jc w:val="center"/>
              <w:rPr>
                <w:rFonts w:ascii="宋体" w:hAnsi="宋体"/>
              </w:rPr>
            </w:pPr>
            <w:r>
              <w:rPr>
                <w:rFonts w:hint="eastAsia" w:ascii="宋体" w:hAnsi="宋体"/>
              </w:rPr>
              <w:t>竞争性磋商文件条款描述</w:t>
            </w:r>
          </w:p>
        </w:tc>
        <w:tc>
          <w:tcPr>
            <w:tcW w:w="2575" w:type="dxa"/>
            <w:shd w:val="clear" w:color="auto" w:fill="EEECE1"/>
            <w:vAlign w:val="center"/>
          </w:tcPr>
          <w:p w14:paraId="353D6D7F">
            <w:pPr>
              <w:jc w:val="center"/>
              <w:rPr>
                <w:rFonts w:ascii="宋体" w:hAnsi="宋体"/>
              </w:rPr>
            </w:pPr>
            <w:r>
              <w:rPr>
                <w:rFonts w:hint="eastAsia" w:ascii="宋体" w:hAnsi="宋体"/>
              </w:rPr>
              <w:t>响应供应商响应描述</w:t>
            </w:r>
          </w:p>
        </w:tc>
        <w:tc>
          <w:tcPr>
            <w:tcW w:w="3098" w:type="dxa"/>
            <w:shd w:val="clear" w:color="auto" w:fill="EEECE1"/>
            <w:vAlign w:val="center"/>
          </w:tcPr>
          <w:p w14:paraId="268F23B5">
            <w:pPr>
              <w:jc w:val="center"/>
              <w:rPr>
                <w:rFonts w:ascii="宋体" w:hAnsi="宋体"/>
              </w:rPr>
            </w:pPr>
            <w:r>
              <w:rPr>
                <w:rFonts w:hint="eastAsia" w:ascii="宋体" w:hAnsi="宋体"/>
              </w:rPr>
              <w:t>偏离情况说明</w:t>
            </w:r>
          </w:p>
          <w:p w14:paraId="48ADCFD7">
            <w:pPr>
              <w:jc w:val="center"/>
              <w:rPr>
                <w:rFonts w:ascii="宋体" w:hAnsi="宋体"/>
              </w:rPr>
            </w:pPr>
            <w:r>
              <w:rPr>
                <w:rFonts w:hint="eastAsia" w:ascii="宋体" w:hAnsi="宋体"/>
              </w:rPr>
              <w:t>（正偏离/完全响应/负偏离）</w:t>
            </w:r>
          </w:p>
        </w:tc>
      </w:tr>
      <w:tr w14:paraId="67C12D6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2" w:hRule="atLeast"/>
        </w:trPr>
        <w:tc>
          <w:tcPr>
            <w:tcW w:w="642" w:type="dxa"/>
            <w:vAlign w:val="center"/>
          </w:tcPr>
          <w:p w14:paraId="299CEF74">
            <w:pPr>
              <w:numPr>
                <w:ilvl w:val="0"/>
                <w:numId w:val="31"/>
              </w:numPr>
              <w:autoSpaceDE/>
              <w:autoSpaceDN/>
              <w:adjustRightInd/>
              <w:jc w:val="center"/>
              <w:rPr>
                <w:rFonts w:ascii="宋体" w:hAnsi="宋体"/>
              </w:rPr>
            </w:pPr>
          </w:p>
        </w:tc>
        <w:tc>
          <w:tcPr>
            <w:tcW w:w="3094" w:type="dxa"/>
            <w:vAlign w:val="center"/>
          </w:tcPr>
          <w:p w14:paraId="3CCFF47B">
            <w:pPr>
              <w:pStyle w:val="7"/>
              <w:tabs>
                <w:tab w:val="left" w:pos="2340"/>
              </w:tabs>
              <w:rPr>
                <w:rFonts w:hAnsi="宋体"/>
              </w:rPr>
            </w:pPr>
          </w:p>
        </w:tc>
        <w:tc>
          <w:tcPr>
            <w:tcW w:w="2575" w:type="dxa"/>
            <w:vAlign w:val="center"/>
          </w:tcPr>
          <w:p w14:paraId="3A80670A">
            <w:pPr>
              <w:jc w:val="center"/>
              <w:rPr>
                <w:rFonts w:ascii="宋体" w:hAnsi="宋体"/>
              </w:rPr>
            </w:pPr>
          </w:p>
        </w:tc>
        <w:tc>
          <w:tcPr>
            <w:tcW w:w="3098" w:type="dxa"/>
            <w:vAlign w:val="center"/>
          </w:tcPr>
          <w:p w14:paraId="24C25A61">
            <w:pPr>
              <w:jc w:val="center"/>
              <w:rPr>
                <w:rFonts w:ascii="宋体" w:hAnsi="宋体"/>
              </w:rPr>
            </w:pPr>
          </w:p>
        </w:tc>
      </w:tr>
      <w:tr w14:paraId="5D78BFE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2" w:hRule="atLeast"/>
        </w:trPr>
        <w:tc>
          <w:tcPr>
            <w:tcW w:w="642" w:type="dxa"/>
            <w:vAlign w:val="center"/>
          </w:tcPr>
          <w:p w14:paraId="134145D7">
            <w:pPr>
              <w:numPr>
                <w:ilvl w:val="0"/>
                <w:numId w:val="31"/>
              </w:numPr>
              <w:tabs>
                <w:tab w:val="left" w:pos="356"/>
                <w:tab w:val="clear" w:pos="142"/>
              </w:tabs>
              <w:autoSpaceDE/>
              <w:autoSpaceDN/>
              <w:adjustRightInd/>
              <w:ind w:right="-122" w:rightChars="-58"/>
              <w:jc w:val="center"/>
              <w:rPr>
                <w:rFonts w:ascii="宋体" w:hAnsi="宋体"/>
              </w:rPr>
            </w:pPr>
          </w:p>
        </w:tc>
        <w:tc>
          <w:tcPr>
            <w:tcW w:w="3094" w:type="dxa"/>
            <w:vAlign w:val="center"/>
          </w:tcPr>
          <w:p w14:paraId="25E2CE44">
            <w:pPr>
              <w:rPr>
                <w:rFonts w:ascii="宋体" w:hAnsi="宋体"/>
                <w:snapToGrid w:val="0"/>
              </w:rPr>
            </w:pPr>
          </w:p>
        </w:tc>
        <w:tc>
          <w:tcPr>
            <w:tcW w:w="2575" w:type="dxa"/>
            <w:vAlign w:val="center"/>
          </w:tcPr>
          <w:p w14:paraId="284B5209">
            <w:pPr>
              <w:jc w:val="center"/>
              <w:rPr>
                <w:rFonts w:ascii="宋体" w:hAnsi="宋体"/>
              </w:rPr>
            </w:pPr>
          </w:p>
        </w:tc>
        <w:tc>
          <w:tcPr>
            <w:tcW w:w="3098" w:type="dxa"/>
            <w:vAlign w:val="center"/>
          </w:tcPr>
          <w:p w14:paraId="35802ECC">
            <w:pPr>
              <w:jc w:val="center"/>
              <w:rPr>
                <w:rFonts w:ascii="宋体" w:hAnsi="宋体"/>
              </w:rPr>
            </w:pPr>
          </w:p>
        </w:tc>
      </w:tr>
    </w:tbl>
    <w:p w14:paraId="6DF5EB30">
      <w:pPr>
        <w:spacing w:line="400" w:lineRule="exact"/>
        <w:ind w:left="945" w:hanging="945" w:hangingChars="450"/>
        <w:rPr>
          <w:rFonts w:ascii="宋体" w:hAnsi="宋体"/>
        </w:rPr>
      </w:pPr>
      <w:r>
        <w:rPr>
          <w:rFonts w:hint="eastAsia" w:ascii="宋体" w:hAnsi="宋体"/>
        </w:rPr>
        <w:t>说明：1、响应供应商必须对应竞争性磋商文件的合同条款逐条应答并按要求填写上表。</w:t>
      </w:r>
    </w:p>
    <w:p w14:paraId="62DFD298">
      <w:pPr>
        <w:spacing w:line="400" w:lineRule="exact"/>
        <w:ind w:left="945" w:leftChars="300" w:hanging="315" w:hangingChars="150"/>
        <w:rPr>
          <w:rFonts w:eastAsia="华文中宋"/>
        </w:rPr>
      </w:pPr>
    </w:p>
    <w:p w14:paraId="7123E70B">
      <w:pPr>
        <w:spacing w:line="500" w:lineRule="exact"/>
        <w:rPr>
          <w:rFonts w:ascii="宋体" w:hAnsi="宋体"/>
        </w:rPr>
      </w:pPr>
    </w:p>
    <w:p w14:paraId="7658B83B">
      <w:pPr>
        <w:spacing w:line="440" w:lineRule="exact"/>
        <w:rPr>
          <w:spacing w:val="4"/>
        </w:rPr>
      </w:pPr>
      <w:r>
        <w:rPr>
          <w:rFonts w:hint="eastAsia"/>
          <w:spacing w:val="4"/>
        </w:rPr>
        <w:t>响应供应商名称（单位盖公章）：</w:t>
      </w:r>
    </w:p>
    <w:p w14:paraId="24D7DF86">
      <w:pPr>
        <w:spacing w:line="440" w:lineRule="exact"/>
        <w:rPr>
          <w:spacing w:val="4"/>
          <w:u w:val="single"/>
        </w:rPr>
      </w:pPr>
      <w:r>
        <w:rPr>
          <w:rFonts w:hint="eastAsia"/>
          <w:spacing w:val="4"/>
        </w:rPr>
        <w:t>日期：</w:t>
      </w:r>
    </w:p>
    <w:bookmarkEnd w:id="88"/>
    <w:p w14:paraId="683F8ADD">
      <w:pPr>
        <w:autoSpaceDE/>
        <w:autoSpaceDN/>
        <w:adjustRightInd/>
        <w:spacing w:afterLines="50"/>
        <w:jc w:val="center"/>
        <w:rPr>
          <w:rFonts w:ascii="仿宋_GB2312" w:eastAsia="仿宋_GB2312"/>
          <w:b/>
          <w:kern w:val="2"/>
          <w:sz w:val="28"/>
          <w:szCs w:val="28"/>
        </w:rPr>
      </w:pPr>
      <w:bookmarkStart w:id="114" w:name="_Toc435515317"/>
      <w:bookmarkStart w:id="115" w:name="_Toc435514877"/>
    </w:p>
    <w:p w14:paraId="44183881">
      <w:pPr>
        <w:widowControl/>
        <w:autoSpaceDE/>
        <w:autoSpaceDN/>
        <w:adjustRightInd/>
        <w:rPr>
          <w:rFonts w:ascii="Times New Roman" w:hAnsi="Times New Roman" w:eastAsia="宋体" w:cs="Times New Roman"/>
          <w:sz w:val="21"/>
          <w:szCs w:val="21"/>
          <w:lang w:val="en-US" w:eastAsia="zh-CN" w:bidi="ar-SA"/>
        </w:rPr>
      </w:pPr>
      <w:r>
        <w:rPr>
          <w:rFonts w:ascii="仿宋_GB2312" w:eastAsia="仿宋_GB2312"/>
          <w:b/>
          <w:kern w:val="2"/>
          <w:sz w:val="28"/>
          <w:szCs w:val="28"/>
        </w:rPr>
        <w:br w:type="page"/>
      </w:r>
      <w:bookmarkEnd w:id="114"/>
      <w:bookmarkEnd w:id="115"/>
    </w:p>
    <w:p w14:paraId="4676C837">
      <w:pPr>
        <w:autoSpaceDE/>
        <w:autoSpaceDN/>
        <w:snapToGrid w:val="0"/>
        <w:spacing w:line="360" w:lineRule="auto"/>
        <w:jc w:val="center"/>
        <w:outlineLvl w:val="0"/>
        <w:rPr>
          <w:b/>
          <w:bCs/>
          <w:sz w:val="28"/>
          <w:szCs w:val="28"/>
        </w:rPr>
      </w:pPr>
      <w:bookmarkStart w:id="116" w:name="_Toc17420"/>
      <w:r>
        <w:rPr>
          <w:rFonts w:hint="eastAsia" w:ascii="仿宋_GB2312" w:eastAsia="仿宋_GB2312"/>
          <w:b/>
          <w:bCs/>
          <w:sz w:val="28"/>
          <w:szCs w:val="28"/>
        </w:rPr>
        <w:t>第七章 磋 商 须 知</w:t>
      </w:r>
      <w:bookmarkEnd w:id="116"/>
    </w:p>
    <w:p w14:paraId="6466D8C4">
      <w:pPr>
        <w:snapToGrid w:val="0"/>
        <w:spacing w:line="360" w:lineRule="auto"/>
        <w:ind w:left="357"/>
        <w:jc w:val="center"/>
        <w:outlineLvl w:val="2"/>
        <w:rPr>
          <w:rFonts w:ascii="仿宋_GB2312" w:hAnsi="宋体" w:eastAsia="仿宋_GB2312"/>
          <w:b/>
          <w:bCs/>
          <w:sz w:val="28"/>
          <w:szCs w:val="28"/>
        </w:rPr>
      </w:pPr>
      <w:bookmarkStart w:id="117" w:name="_Toc416771321"/>
      <w:bookmarkStart w:id="118" w:name="_Toc410738932"/>
      <w:bookmarkStart w:id="119" w:name="_Toc410736132"/>
      <w:bookmarkStart w:id="120" w:name="_Toc416770211"/>
      <w:bookmarkStart w:id="121" w:name="_Toc293674590"/>
      <w:r>
        <w:rPr>
          <w:rFonts w:hint="eastAsia" w:ascii="仿宋_GB2312" w:hAnsi="宋体" w:eastAsia="仿宋_GB2312"/>
          <w:b/>
          <w:bCs/>
          <w:sz w:val="28"/>
          <w:szCs w:val="28"/>
        </w:rPr>
        <w:t>一、说 明</w:t>
      </w:r>
      <w:bookmarkEnd w:id="117"/>
      <w:bookmarkEnd w:id="118"/>
      <w:bookmarkEnd w:id="119"/>
      <w:bookmarkEnd w:id="120"/>
      <w:bookmarkEnd w:id="121"/>
    </w:p>
    <w:p w14:paraId="69CBCFFE">
      <w:pPr>
        <w:numPr>
          <w:ilvl w:val="0"/>
          <w:numId w:val="32"/>
        </w:numPr>
        <w:snapToGrid w:val="0"/>
        <w:spacing w:line="360" w:lineRule="auto"/>
        <w:ind w:left="358" w:hanging="358" w:hangingChars="170"/>
        <w:jc w:val="both"/>
        <w:outlineLvl w:val="2"/>
        <w:rPr>
          <w:rFonts w:ascii="宋体" w:hAnsi="宋体"/>
          <w:b/>
          <w:bCs/>
        </w:rPr>
      </w:pPr>
      <w:bookmarkStart w:id="122" w:name="_Toc410736133"/>
      <w:bookmarkStart w:id="123" w:name="_Toc410738933"/>
      <w:bookmarkStart w:id="124" w:name="_Toc416770212"/>
      <w:bookmarkStart w:id="125" w:name="_Toc416771322"/>
      <w:r>
        <w:rPr>
          <w:rFonts w:hint="eastAsia" w:ascii="宋体" w:hAnsi="宋体"/>
          <w:b/>
          <w:bCs/>
        </w:rPr>
        <w:t>适用范围</w:t>
      </w:r>
      <w:bookmarkEnd w:id="122"/>
      <w:bookmarkEnd w:id="123"/>
      <w:bookmarkEnd w:id="124"/>
      <w:bookmarkEnd w:id="125"/>
    </w:p>
    <w:p w14:paraId="4B07CFE9">
      <w:pPr>
        <w:numPr>
          <w:ilvl w:val="1"/>
          <w:numId w:val="32"/>
        </w:numPr>
        <w:snapToGrid w:val="0"/>
        <w:spacing w:line="360" w:lineRule="auto"/>
        <w:rPr>
          <w:rFonts w:ascii="宋体" w:hAnsi="宋体"/>
        </w:rPr>
      </w:pPr>
      <w:r>
        <w:rPr>
          <w:rFonts w:hint="eastAsia" w:ascii="宋体" w:hAnsi="宋体"/>
        </w:rPr>
        <w:t>本竞争性磋商文件适用于本磋商邀请中所述项目的政府采购。</w:t>
      </w:r>
    </w:p>
    <w:p w14:paraId="62458A53">
      <w:pPr>
        <w:pStyle w:val="20"/>
        <w:numPr>
          <w:ilvl w:val="0"/>
          <w:numId w:val="32"/>
        </w:numPr>
        <w:spacing w:line="360" w:lineRule="auto"/>
        <w:ind w:firstLineChars="0"/>
        <w:rPr>
          <w:rFonts w:ascii="宋体" w:hAnsi="宋体" w:eastAsia="宋体"/>
          <w:b/>
          <w:kern w:val="0"/>
          <w:sz w:val="21"/>
          <w:szCs w:val="21"/>
        </w:rPr>
      </w:pPr>
      <w:bookmarkStart w:id="126" w:name="_Toc410736134"/>
      <w:bookmarkStart w:id="127" w:name="_Toc416770213"/>
      <w:bookmarkStart w:id="128" w:name="_Toc410738934"/>
      <w:bookmarkStart w:id="129" w:name="_Toc416771323"/>
      <w:r>
        <w:rPr>
          <w:rFonts w:hint="eastAsia" w:ascii="宋体" w:hAnsi="宋体" w:eastAsia="宋体"/>
          <w:b/>
          <w:kern w:val="0"/>
          <w:sz w:val="21"/>
          <w:szCs w:val="21"/>
        </w:rPr>
        <w:t>政府采购监督管理部门及</w:t>
      </w:r>
      <w:bookmarkEnd w:id="126"/>
      <w:bookmarkEnd w:id="127"/>
      <w:bookmarkEnd w:id="128"/>
      <w:bookmarkEnd w:id="129"/>
      <w:r>
        <w:rPr>
          <w:rFonts w:hint="eastAsia" w:ascii="宋体" w:hAnsi="宋体" w:eastAsia="宋体"/>
          <w:b/>
          <w:kern w:val="0"/>
          <w:sz w:val="21"/>
          <w:szCs w:val="21"/>
        </w:rPr>
        <w:t>采购人、采购代理机构</w:t>
      </w:r>
    </w:p>
    <w:p w14:paraId="3007FB6F">
      <w:pPr>
        <w:numPr>
          <w:ilvl w:val="1"/>
          <w:numId w:val="32"/>
        </w:numPr>
        <w:snapToGrid w:val="0"/>
        <w:spacing w:line="360" w:lineRule="auto"/>
        <w:rPr>
          <w:rFonts w:ascii="宋体" w:hAnsi="宋体" w:cs="宋体"/>
        </w:rPr>
      </w:pPr>
      <w:r>
        <w:rPr>
          <w:rFonts w:hint="eastAsia" w:ascii="宋体" w:hAnsi="宋体"/>
        </w:rPr>
        <w:t>政府采购监督管理部门指</w:t>
      </w:r>
      <w:r>
        <w:rPr>
          <w:rFonts w:hint="eastAsia" w:ascii="宋体" w:hAnsi="宋体" w:cs="宋体"/>
          <w:lang w:eastAsia="zh-TW"/>
        </w:rPr>
        <w:t>同级人民政府财政部门</w:t>
      </w:r>
      <w:r>
        <w:rPr>
          <w:rFonts w:hint="eastAsia" w:ascii="宋体" w:hAnsi="宋体" w:cs="宋体"/>
        </w:rPr>
        <w:t>。</w:t>
      </w:r>
    </w:p>
    <w:p w14:paraId="15E4E54E">
      <w:pPr>
        <w:numPr>
          <w:ilvl w:val="1"/>
          <w:numId w:val="32"/>
        </w:numPr>
        <w:snapToGrid w:val="0"/>
        <w:spacing w:line="360" w:lineRule="auto"/>
        <w:rPr>
          <w:rFonts w:ascii="宋体" w:hAnsi="宋体" w:cs="宋体"/>
        </w:rPr>
      </w:pPr>
      <w:r>
        <w:rPr>
          <w:rFonts w:hint="eastAsia" w:ascii="宋体" w:hAnsi="宋体"/>
        </w:rPr>
        <w:t>采购人指依法进行政府采购的国家机关、事业单位和团体组织。</w:t>
      </w:r>
      <w:r>
        <w:rPr>
          <w:rFonts w:hint="eastAsia" w:ascii="宋体" w:hAnsi="宋体" w:cs="宋体"/>
          <w:lang w:eastAsia="zh-TW"/>
        </w:rPr>
        <w:t>本竞争性磋商文件第</w:t>
      </w:r>
      <w:r>
        <w:rPr>
          <w:rFonts w:hint="eastAsia" w:ascii="宋体" w:hAnsi="宋体" w:cs="宋体"/>
        </w:rPr>
        <w:t>二</w:t>
      </w:r>
      <w:r>
        <w:rPr>
          <w:rFonts w:hint="eastAsia" w:ascii="宋体" w:hAnsi="宋体" w:cs="宋体"/>
          <w:lang w:eastAsia="zh-TW"/>
        </w:rPr>
        <w:t>章</w:t>
      </w:r>
      <w:r>
        <w:rPr>
          <w:rFonts w:hint="eastAsia" w:ascii="宋体" w:hAnsi="宋体" w:cs="黑体"/>
          <w:b/>
          <w:lang w:eastAsia="zh-TW"/>
        </w:rPr>
        <w:t>磋商资料表</w:t>
      </w:r>
      <w:r>
        <w:rPr>
          <w:rFonts w:hint="eastAsia" w:ascii="宋体" w:hAnsi="宋体" w:cs="宋体"/>
          <w:lang w:eastAsia="zh-TW"/>
        </w:rPr>
        <w:t>中所述的采购人已拥有一笔</w:t>
      </w:r>
      <w:r>
        <w:rPr>
          <w:rFonts w:hint="eastAsia" w:ascii="宋体" w:hAnsi="宋体" w:cs="宋体"/>
        </w:rPr>
        <w:t>财政性</w:t>
      </w:r>
      <w:r>
        <w:rPr>
          <w:rFonts w:hint="eastAsia" w:ascii="宋体" w:hAnsi="宋体" w:cs="宋体"/>
          <w:lang w:eastAsia="zh-TW"/>
        </w:rPr>
        <w:t>资金</w:t>
      </w:r>
      <w:r>
        <w:rPr>
          <w:rFonts w:hint="eastAsia" w:ascii="宋体" w:hAnsi="宋体" w:cs="宋体"/>
        </w:rPr>
        <w:t>或资金来源已落实</w:t>
      </w:r>
      <w:r>
        <w:rPr>
          <w:rFonts w:hint="eastAsia" w:ascii="宋体" w:hAnsi="宋体" w:cs="宋体"/>
          <w:lang w:eastAsia="zh-TW"/>
        </w:rPr>
        <w:t>。采购人计划将一部分</w:t>
      </w:r>
      <w:r>
        <w:rPr>
          <w:rFonts w:hint="eastAsia" w:ascii="宋体" w:hAnsi="宋体" w:cs="宋体"/>
        </w:rPr>
        <w:t>或全部</w:t>
      </w:r>
      <w:r>
        <w:rPr>
          <w:rFonts w:hint="eastAsia" w:ascii="宋体" w:hAnsi="宋体" w:cs="宋体"/>
          <w:lang w:eastAsia="zh-TW"/>
        </w:rPr>
        <w:t>资金用于支付本次</w:t>
      </w:r>
      <w:r>
        <w:rPr>
          <w:rFonts w:hint="eastAsia" w:ascii="宋体" w:hAnsi="宋体" w:cs="宋体"/>
        </w:rPr>
        <w:t>采购</w:t>
      </w:r>
      <w:r>
        <w:rPr>
          <w:rFonts w:hint="eastAsia" w:ascii="宋体" w:hAnsi="宋体" w:cs="宋体"/>
          <w:lang w:eastAsia="zh-TW"/>
        </w:rPr>
        <w:t>后所签订合同项下的款项</w:t>
      </w:r>
      <w:r>
        <w:rPr>
          <w:rFonts w:hint="eastAsia" w:ascii="宋体" w:hAnsi="宋体" w:cs="宋体"/>
        </w:rPr>
        <w:t>。</w:t>
      </w:r>
    </w:p>
    <w:p w14:paraId="6E999C71">
      <w:pPr>
        <w:numPr>
          <w:ilvl w:val="1"/>
          <w:numId w:val="32"/>
        </w:numPr>
        <w:snapToGrid w:val="0"/>
        <w:spacing w:line="360" w:lineRule="auto"/>
        <w:jc w:val="both"/>
        <w:rPr>
          <w:rFonts w:ascii="宋体" w:hAnsi="宋体"/>
        </w:rPr>
      </w:pPr>
      <w:bookmarkStart w:id="130" w:name="_Toc410736135"/>
      <w:bookmarkStart w:id="131" w:name="_Toc410738935"/>
      <w:r>
        <w:rPr>
          <w:rFonts w:hint="eastAsia" w:ascii="宋体" w:hAnsi="宋体"/>
        </w:rPr>
        <w:t>采购代理机构指按照规定办理名录登记并通过审核的代理机构，本次采购的采购代理机构名称、地址、电话等联系方式详见</w:t>
      </w:r>
      <w:r>
        <w:rPr>
          <w:rFonts w:hint="eastAsia" w:ascii="宋体" w:hAnsi="宋体"/>
          <w:b/>
        </w:rPr>
        <w:t>磋商资料表</w:t>
      </w:r>
      <w:r>
        <w:rPr>
          <w:rFonts w:hint="eastAsia" w:ascii="宋体" w:hAnsi="宋体"/>
        </w:rPr>
        <w:t>。</w:t>
      </w:r>
    </w:p>
    <w:p w14:paraId="228E0FD9">
      <w:pPr>
        <w:numPr>
          <w:ilvl w:val="0"/>
          <w:numId w:val="32"/>
        </w:numPr>
        <w:snapToGrid w:val="0"/>
        <w:spacing w:line="360" w:lineRule="auto"/>
        <w:ind w:left="358" w:hanging="358" w:hangingChars="170"/>
        <w:jc w:val="both"/>
        <w:outlineLvl w:val="2"/>
        <w:rPr>
          <w:rFonts w:ascii="宋体" w:hAnsi="宋体"/>
          <w:b/>
          <w:bCs/>
        </w:rPr>
      </w:pPr>
      <w:bookmarkStart w:id="132" w:name="_Toc416770214"/>
      <w:bookmarkStart w:id="133" w:name="_Toc416771324"/>
      <w:r>
        <w:rPr>
          <w:rFonts w:hint="eastAsia" w:ascii="宋体" w:hAnsi="宋体"/>
          <w:b/>
          <w:bCs/>
        </w:rPr>
        <w:t>关于响应供应商</w:t>
      </w:r>
      <w:bookmarkEnd w:id="130"/>
      <w:bookmarkEnd w:id="131"/>
      <w:r>
        <w:rPr>
          <w:rFonts w:hint="eastAsia" w:ascii="宋体" w:hAnsi="宋体"/>
          <w:b/>
          <w:bCs/>
        </w:rPr>
        <w:t>及成交供应商</w:t>
      </w:r>
      <w:bookmarkEnd w:id="132"/>
      <w:bookmarkEnd w:id="133"/>
    </w:p>
    <w:p w14:paraId="78A6BBE0">
      <w:pPr>
        <w:numPr>
          <w:ilvl w:val="1"/>
          <w:numId w:val="32"/>
        </w:numPr>
        <w:snapToGrid w:val="0"/>
        <w:spacing w:line="360" w:lineRule="auto"/>
        <w:rPr>
          <w:rFonts w:ascii="宋体" w:hAnsi="宋体" w:cs="宋体"/>
          <w:lang w:eastAsia="zh-TW"/>
        </w:rPr>
      </w:pPr>
      <w:r>
        <w:rPr>
          <w:rFonts w:hint="eastAsia" w:ascii="宋体" w:hAnsi="宋体"/>
        </w:rPr>
        <w:t>响应供应商是响应磋商并且符合竞争性磋商文件规定资格条件和参加磋商竞争的法人、其他组织或者自然人。</w:t>
      </w:r>
    </w:p>
    <w:p w14:paraId="36858691">
      <w:pPr>
        <w:numPr>
          <w:ilvl w:val="1"/>
          <w:numId w:val="32"/>
        </w:numPr>
        <w:tabs>
          <w:tab w:val="left" w:pos="567"/>
          <w:tab w:val="clear" w:pos="360"/>
        </w:tabs>
        <w:snapToGrid w:val="0"/>
        <w:spacing w:line="360" w:lineRule="auto"/>
        <w:ind w:left="426" w:hanging="426"/>
        <w:rPr>
          <w:rFonts w:ascii="宋体" w:hAnsi="宋体"/>
        </w:rPr>
      </w:pPr>
      <w:r>
        <w:rPr>
          <w:rFonts w:hint="eastAsia" w:ascii="宋体" w:hAnsi="宋体"/>
        </w:rPr>
        <w:t>成交供应商是指经法定程序确定并授予合同的响应供应商。</w:t>
      </w:r>
    </w:p>
    <w:p w14:paraId="31A2B7AE">
      <w:pPr>
        <w:numPr>
          <w:ilvl w:val="0"/>
          <w:numId w:val="32"/>
        </w:numPr>
        <w:snapToGrid w:val="0"/>
        <w:spacing w:line="360" w:lineRule="auto"/>
        <w:ind w:left="358" w:hanging="358" w:hangingChars="170"/>
        <w:jc w:val="both"/>
        <w:outlineLvl w:val="2"/>
        <w:rPr>
          <w:rFonts w:ascii="宋体" w:hAnsi="宋体"/>
          <w:b/>
          <w:bCs/>
        </w:rPr>
      </w:pPr>
      <w:bookmarkStart w:id="134" w:name="_Toc416771325"/>
      <w:bookmarkStart w:id="135" w:name="_Toc416770215"/>
      <w:bookmarkStart w:id="136" w:name="_Toc381027664"/>
      <w:r>
        <w:rPr>
          <w:rFonts w:hint="eastAsia" w:ascii="宋体" w:hAnsi="宋体"/>
          <w:b/>
          <w:bCs/>
        </w:rPr>
        <w:t>合格的</w:t>
      </w:r>
      <w:bookmarkEnd w:id="134"/>
      <w:bookmarkEnd w:id="135"/>
      <w:bookmarkEnd w:id="136"/>
      <w:r>
        <w:rPr>
          <w:rFonts w:hint="eastAsia" w:ascii="宋体" w:hAnsi="宋体"/>
          <w:b/>
          <w:bCs/>
        </w:rPr>
        <w:t>工程</w:t>
      </w:r>
    </w:p>
    <w:p w14:paraId="55626C76">
      <w:pPr>
        <w:numPr>
          <w:ilvl w:val="1"/>
          <w:numId w:val="32"/>
        </w:numPr>
        <w:tabs>
          <w:tab w:val="left" w:pos="426"/>
          <w:tab w:val="clear" w:pos="360"/>
        </w:tabs>
        <w:snapToGrid w:val="0"/>
        <w:spacing w:line="360" w:lineRule="auto"/>
        <w:ind w:left="567" w:hanging="567"/>
        <w:rPr>
          <w:rFonts w:ascii="宋体" w:hAnsi="宋体"/>
        </w:rPr>
      </w:pPr>
      <w:r>
        <w:rPr>
          <w:rFonts w:hint="eastAsia" w:ascii="宋体" w:hAnsi="宋体"/>
        </w:rPr>
        <w:t>合格的工程是指满足国家相关法律、法规、规章等规定，并符合本项目相关质量要求、安全文明施工等要求的工程。</w:t>
      </w:r>
    </w:p>
    <w:p w14:paraId="59628B14">
      <w:pPr>
        <w:numPr>
          <w:ilvl w:val="1"/>
          <w:numId w:val="32"/>
        </w:numPr>
        <w:tabs>
          <w:tab w:val="left" w:pos="426"/>
          <w:tab w:val="clear" w:pos="360"/>
        </w:tabs>
        <w:snapToGrid w:val="0"/>
        <w:spacing w:line="360" w:lineRule="auto"/>
        <w:ind w:left="426" w:hanging="426"/>
        <w:rPr>
          <w:rFonts w:ascii="宋体" w:hAnsi="宋体"/>
        </w:rPr>
      </w:pPr>
      <w:r>
        <w:rPr>
          <w:rFonts w:hint="eastAsia" w:ascii="宋体" w:hAnsi="宋体"/>
        </w:rPr>
        <w:t>若所投产品属于政府强制采购节能产品的，则响应供应商必须提供该产品国家强制性节能产品进行响应，并提供强制性节能产品认证证书，否则视为无效响应。</w:t>
      </w:r>
    </w:p>
    <w:p w14:paraId="20AA66BD">
      <w:pPr>
        <w:numPr>
          <w:ilvl w:val="0"/>
          <w:numId w:val="32"/>
        </w:numPr>
        <w:snapToGrid w:val="0"/>
        <w:spacing w:line="360" w:lineRule="auto"/>
        <w:ind w:left="358" w:hanging="358" w:hangingChars="170"/>
        <w:jc w:val="both"/>
        <w:outlineLvl w:val="2"/>
        <w:rPr>
          <w:rFonts w:ascii="宋体" w:hAnsi="宋体"/>
          <w:b/>
          <w:bCs/>
        </w:rPr>
      </w:pPr>
      <w:bookmarkStart w:id="137" w:name="_Toc410736137"/>
      <w:bookmarkStart w:id="138" w:name="_Toc416771326"/>
      <w:bookmarkStart w:id="139" w:name="_Toc410738937"/>
      <w:bookmarkStart w:id="140" w:name="_Toc416770216"/>
      <w:r>
        <w:rPr>
          <w:rFonts w:hint="eastAsia" w:ascii="宋体" w:hAnsi="宋体"/>
          <w:b/>
          <w:bCs/>
        </w:rPr>
        <w:t>磋商费用</w:t>
      </w:r>
      <w:bookmarkEnd w:id="137"/>
      <w:bookmarkEnd w:id="138"/>
      <w:bookmarkEnd w:id="139"/>
      <w:bookmarkEnd w:id="140"/>
    </w:p>
    <w:p w14:paraId="578A45A9">
      <w:pPr>
        <w:numPr>
          <w:ilvl w:val="1"/>
          <w:numId w:val="32"/>
        </w:numPr>
        <w:tabs>
          <w:tab w:val="left" w:pos="426"/>
          <w:tab w:val="clear" w:pos="360"/>
        </w:tabs>
        <w:snapToGrid w:val="0"/>
        <w:spacing w:line="360" w:lineRule="auto"/>
        <w:ind w:left="567" w:hanging="567"/>
        <w:rPr>
          <w:rFonts w:ascii="宋体" w:hAnsi="宋体" w:cs="宋体"/>
        </w:rPr>
      </w:pPr>
      <w:r>
        <w:rPr>
          <w:rFonts w:hint="eastAsia" w:ascii="宋体" w:hAnsi="宋体"/>
        </w:rPr>
        <w:t>响应供应商应承担所有与准备和参加磋商有关的费用</w:t>
      </w:r>
      <w:r>
        <w:rPr>
          <w:rFonts w:hint="eastAsia" w:ascii="宋体" w:hAnsi="宋体" w:cs="宋体"/>
          <w:lang w:eastAsia="zh-TW"/>
        </w:rPr>
        <w:t>。不论磋商的结果如何</w:t>
      </w:r>
      <w:r>
        <w:rPr>
          <w:rFonts w:hint="eastAsia" w:ascii="宋体" w:hAnsi="宋体" w:cs="宋体"/>
        </w:rPr>
        <w:t>，</w:t>
      </w:r>
      <w:r>
        <w:rPr>
          <w:rFonts w:hint="eastAsia" w:ascii="宋体" w:hAnsi="宋体" w:cs="宋体"/>
          <w:lang w:eastAsia="zh-TW"/>
        </w:rPr>
        <w:t>招标采购单位均无义务和责任承担这些费用</w:t>
      </w:r>
      <w:r>
        <w:rPr>
          <w:rFonts w:hint="eastAsia" w:ascii="宋体" w:hAnsi="宋体" w:cs="宋体"/>
        </w:rPr>
        <w:t>。</w:t>
      </w:r>
    </w:p>
    <w:p w14:paraId="64C20E62">
      <w:pPr>
        <w:numPr>
          <w:ilvl w:val="0"/>
          <w:numId w:val="32"/>
        </w:numPr>
        <w:snapToGrid w:val="0"/>
        <w:spacing w:line="360" w:lineRule="auto"/>
        <w:ind w:left="358" w:hanging="358" w:hangingChars="170"/>
        <w:jc w:val="both"/>
        <w:outlineLvl w:val="2"/>
        <w:rPr>
          <w:rFonts w:ascii="宋体" w:hAnsi="宋体"/>
          <w:b/>
          <w:bCs/>
        </w:rPr>
      </w:pPr>
      <w:r>
        <w:rPr>
          <w:rFonts w:hint="eastAsia" w:ascii="宋体" w:hAnsi="宋体"/>
          <w:b/>
          <w:bCs/>
        </w:rPr>
        <w:t>其他</w:t>
      </w:r>
    </w:p>
    <w:p w14:paraId="0786D734">
      <w:pPr>
        <w:numPr>
          <w:ilvl w:val="1"/>
          <w:numId w:val="32"/>
        </w:numPr>
        <w:snapToGrid w:val="0"/>
        <w:spacing w:line="360" w:lineRule="auto"/>
        <w:jc w:val="both"/>
        <w:rPr>
          <w:rFonts w:ascii="宋体" w:hAnsi="宋体" w:cs="宋体"/>
          <w:lang w:eastAsia="zh-TW"/>
        </w:rPr>
      </w:pPr>
      <w:r>
        <w:rPr>
          <w:rFonts w:hint="eastAsia" w:ascii="宋体" w:hAnsi="宋体" w:cs="宋体"/>
          <w:lang w:eastAsia="zh-TW"/>
        </w:rPr>
        <w:t>所有时间均为24小时制北京时间，所有货币单位均为人民币元，所使用的计量单位均以《中华人民共和国法定计量单位》为准（特别注明除外）</w:t>
      </w:r>
      <w:r>
        <w:rPr>
          <w:rFonts w:hint="eastAsia" w:ascii="宋体" w:hAnsi="宋体" w:cs="宋体"/>
        </w:rPr>
        <w:t>。</w:t>
      </w:r>
    </w:p>
    <w:p w14:paraId="05836BE1">
      <w:pPr>
        <w:numPr>
          <w:ilvl w:val="1"/>
          <w:numId w:val="32"/>
        </w:numPr>
        <w:snapToGrid w:val="0"/>
        <w:spacing w:line="360" w:lineRule="auto"/>
        <w:jc w:val="both"/>
      </w:pPr>
      <w:r>
        <w:rPr>
          <w:rFonts w:hint="eastAsia"/>
        </w:rPr>
        <w:t>供应商（投标人）向我司咨询的有关项目事项，一切以法律法规的规定和本公司书面答复为准，其他一切形式均为个人意见，不代表本公司的意见。</w:t>
      </w:r>
    </w:p>
    <w:p w14:paraId="61D5B854">
      <w:pPr>
        <w:snapToGrid w:val="0"/>
        <w:spacing w:line="360" w:lineRule="auto"/>
        <w:ind w:left="357"/>
        <w:jc w:val="center"/>
        <w:outlineLvl w:val="2"/>
        <w:rPr>
          <w:rFonts w:ascii="仿宋_GB2312" w:hAnsi="宋体" w:eastAsia="仿宋_GB2312"/>
          <w:b/>
          <w:bCs/>
          <w:sz w:val="28"/>
          <w:szCs w:val="28"/>
        </w:rPr>
      </w:pPr>
      <w:bookmarkStart w:id="141" w:name="_Toc410736139"/>
      <w:bookmarkStart w:id="142" w:name="_Toc410738939"/>
      <w:bookmarkStart w:id="143" w:name="_Toc416771327"/>
      <w:bookmarkStart w:id="144" w:name="_Toc416770217"/>
      <w:r>
        <w:rPr>
          <w:rFonts w:hint="eastAsia" w:ascii="仿宋_GB2312" w:hAnsi="宋体" w:eastAsia="仿宋_GB2312"/>
          <w:b/>
          <w:bCs/>
          <w:sz w:val="28"/>
          <w:szCs w:val="28"/>
        </w:rPr>
        <w:t>二、竞争性磋商文件</w:t>
      </w:r>
      <w:bookmarkEnd w:id="141"/>
      <w:bookmarkEnd w:id="142"/>
      <w:bookmarkEnd w:id="143"/>
      <w:bookmarkEnd w:id="144"/>
    </w:p>
    <w:p w14:paraId="768DD770">
      <w:pPr>
        <w:numPr>
          <w:ilvl w:val="0"/>
          <w:numId w:val="32"/>
        </w:numPr>
        <w:snapToGrid w:val="0"/>
        <w:spacing w:line="360" w:lineRule="auto"/>
        <w:ind w:left="358" w:hanging="358" w:hangingChars="170"/>
        <w:jc w:val="both"/>
        <w:outlineLvl w:val="2"/>
        <w:rPr>
          <w:rFonts w:ascii="宋体" w:hAnsi="宋体"/>
          <w:b/>
          <w:bCs/>
        </w:rPr>
      </w:pPr>
      <w:bookmarkStart w:id="145" w:name="_Toc410736140"/>
      <w:bookmarkStart w:id="146" w:name="_Toc416770218"/>
      <w:bookmarkStart w:id="147" w:name="_Toc416771328"/>
      <w:bookmarkStart w:id="148" w:name="_Toc410738940"/>
      <w:r>
        <w:rPr>
          <w:rFonts w:hint="eastAsia" w:ascii="宋体" w:hAnsi="宋体"/>
          <w:b/>
          <w:bCs/>
        </w:rPr>
        <w:t>竞争性磋商文件的编制依据与构成</w:t>
      </w:r>
      <w:bookmarkEnd w:id="145"/>
      <w:bookmarkEnd w:id="146"/>
      <w:bookmarkEnd w:id="147"/>
      <w:bookmarkEnd w:id="148"/>
    </w:p>
    <w:p w14:paraId="003AA153">
      <w:pPr>
        <w:numPr>
          <w:ilvl w:val="1"/>
          <w:numId w:val="32"/>
        </w:numPr>
        <w:tabs>
          <w:tab w:val="left" w:pos="567"/>
          <w:tab w:val="clear" w:pos="360"/>
        </w:tabs>
        <w:snapToGrid w:val="0"/>
        <w:spacing w:line="360" w:lineRule="auto"/>
        <w:ind w:left="567" w:hanging="567"/>
        <w:rPr>
          <w:rFonts w:ascii="宋体" w:hAnsi="宋体"/>
        </w:rPr>
      </w:pPr>
      <w:r>
        <w:rPr>
          <w:rFonts w:hint="eastAsia" w:ascii="宋体" w:hAnsi="宋体"/>
        </w:rPr>
        <w:t>本竞争性磋商文件的编制依据《中华人民共和国政府采购法》及其实施条例、</w:t>
      </w:r>
      <w:r>
        <w:rPr>
          <w:rFonts w:ascii="宋体" w:hAnsi="宋体"/>
        </w:rPr>
        <w:t>《政府采购</w:t>
      </w:r>
      <w:r>
        <w:rPr>
          <w:rFonts w:hint="eastAsia" w:ascii="宋体" w:hAnsi="宋体"/>
        </w:rPr>
        <w:t>竞争</w:t>
      </w:r>
      <w:r>
        <w:rPr>
          <w:rFonts w:ascii="宋体" w:hAnsi="宋体"/>
        </w:rPr>
        <w:t>性磋商采购方式</w:t>
      </w:r>
      <w:r>
        <w:rPr>
          <w:rFonts w:hint="eastAsia" w:ascii="宋体" w:hAnsi="宋体"/>
        </w:rPr>
        <w:t>管理暂行办</w:t>
      </w:r>
      <w:r>
        <w:rPr>
          <w:rFonts w:ascii="宋体" w:hAnsi="宋体"/>
        </w:rPr>
        <w:t>法》</w:t>
      </w:r>
      <w:r>
        <w:rPr>
          <w:rFonts w:hint="eastAsia" w:ascii="宋体" w:hAnsi="宋体"/>
        </w:rPr>
        <w:t>及其配套的法规、规章、政策。</w:t>
      </w:r>
    </w:p>
    <w:p w14:paraId="34BF8AB4">
      <w:pPr>
        <w:numPr>
          <w:ilvl w:val="1"/>
          <w:numId w:val="32"/>
        </w:numPr>
        <w:tabs>
          <w:tab w:val="left" w:pos="567"/>
          <w:tab w:val="clear" w:pos="360"/>
        </w:tabs>
        <w:snapToGrid w:val="0"/>
        <w:spacing w:line="360" w:lineRule="auto"/>
        <w:ind w:left="567" w:hanging="567"/>
        <w:rPr>
          <w:rFonts w:ascii="宋体" w:hAnsi="宋体"/>
        </w:rPr>
      </w:pPr>
      <w:r>
        <w:rPr>
          <w:rFonts w:hint="eastAsia" w:ascii="宋体" w:hAnsi="宋体"/>
        </w:rPr>
        <w:t>要求提供的工程</w:t>
      </w:r>
      <w:r>
        <w:rPr>
          <w:rFonts w:hint="eastAsia" w:ascii="宋体" w:hAnsi="宋体" w:cs="宋体"/>
          <w:lang w:eastAsia="zh-TW"/>
        </w:rPr>
        <w:t>、</w:t>
      </w:r>
      <w:r>
        <w:rPr>
          <w:rFonts w:hint="eastAsia" w:ascii="宋体" w:hAnsi="宋体" w:cs="宋体"/>
        </w:rPr>
        <w:t>采购</w:t>
      </w:r>
      <w:r>
        <w:rPr>
          <w:rFonts w:hint="eastAsia" w:ascii="宋体" w:hAnsi="宋体" w:cs="宋体"/>
          <w:lang w:eastAsia="zh-TW"/>
        </w:rPr>
        <w:t>过程和合同条件在竞争性磋商文件中均有说明。竞争性磋商文件以中文文字编写。</w:t>
      </w:r>
    </w:p>
    <w:p w14:paraId="7128F003">
      <w:pPr>
        <w:snapToGrid w:val="0"/>
        <w:spacing w:line="360" w:lineRule="auto"/>
        <w:ind w:left="567" w:hanging="1"/>
        <w:rPr>
          <w:rFonts w:ascii="宋体" w:hAnsi="宋体"/>
        </w:rPr>
      </w:pPr>
      <w:r>
        <w:rPr>
          <w:rFonts w:hint="eastAsia" w:ascii="宋体" w:hAnsi="宋体" w:cs="宋体"/>
          <w:lang w:eastAsia="zh-TW"/>
        </w:rPr>
        <w:t>竞争性磋商文件共</w:t>
      </w:r>
      <w:r>
        <w:rPr>
          <w:rFonts w:hint="eastAsia" w:ascii="宋体" w:hAnsi="宋体" w:cs="宋体"/>
        </w:rPr>
        <w:t>七</w:t>
      </w:r>
      <w:r>
        <w:rPr>
          <w:rFonts w:hint="eastAsia" w:ascii="宋体" w:hAnsi="宋体" w:cs="宋体"/>
          <w:lang w:eastAsia="zh-TW"/>
        </w:rPr>
        <w:t>章</w:t>
      </w:r>
      <w:r>
        <w:rPr>
          <w:rFonts w:hint="eastAsia" w:ascii="宋体" w:hAnsi="宋体" w:cs="宋体"/>
        </w:rPr>
        <w:t>，由下列文件及在采购过程中发出的澄清、修改和补充文件组成，</w:t>
      </w:r>
      <w:r>
        <w:rPr>
          <w:rFonts w:hint="eastAsia" w:ascii="宋体" w:hAnsi="宋体" w:cs="宋体"/>
          <w:lang w:eastAsia="zh-TW"/>
        </w:rPr>
        <w:t>内容如下</w:t>
      </w:r>
      <w:r>
        <w:rPr>
          <w:rFonts w:hint="eastAsia" w:ascii="宋体" w:hAnsi="宋体" w:cs="宋体"/>
        </w:rPr>
        <w:t>：</w:t>
      </w:r>
    </w:p>
    <w:p w14:paraId="1D9032A7">
      <w:pPr>
        <w:snapToGrid w:val="0"/>
        <w:spacing w:line="360" w:lineRule="auto"/>
        <w:ind w:firstLine="600" w:firstLineChars="286"/>
        <w:rPr>
          <w:rFonts w:ascii="宋体" w:hAnsi="宋体"/>
        </w:rPr>
      </w:pPr>
      <w:r>
        <w:rPr>
          <w:rFonts w:hint="eastAsia" w:ascii="宋体" w:hAnsi="宋体" w:cs="宋体"/>
        </w:rPr>
        <w:t xml:space="preserve">第一章 </w:t>
      </w:r>
      <w:r>
        <w:rPr>
          <w:rFonts w:hint="eastAsia" w:ascii="宋体" w:hAnsi="宋体" w:cs="宋体"/>
          <w:lang w:eastAsia="zh-TW"/>
        </w:rPr>
        <w:t>磋商邀请</w:t>
      </w:r>
    </w:p>
    <w:p w14:paraId="1CA77082">
      <w:pPr>
        <w:snapToGrid w:val="0"/>
        <w:spacing w:line="360" w:lineRule="auto"/>
        <w:ind w:firstLine="600" w:firstLineChars="286"/>
        <w:rPr>
          <w:rFonts w:ascii="宋体" w:hAnsi="宋体" w:cs="宋体"/>
        </w:rPr>
      </w:pPr>
      <w:r>
        <w:rPr>
          <w:rFonts w:hint="eastAsia" w:ascii="宋体" w:hAnsi="宋体" w:cs="宋体"/>
        </w:rPr>
        <w:t>第二章 磋商资料表</w:t>
      </w:r>
    </w:p>
    <w:p w14:paraId="2DAE2286">
      <w:pPr>
        <w:snapToGrid w:val="0"/>
        <w:spacing w:line="360" w:lineRule="auto"/>
        <w:ind w:firstLine="600" w:firstLineChars="286"/>
        <w:rPr>
          <w:rFonts w:ascii="宋体" w:hAnsi="宋体" w:cs="宋体"/>
        </w:rPr>
      </w:pPr>
      <w:r>
        <w:rPr>
          <w:rFonts w:hint="eastAsia" w:ascii="宋体" w:hAnsi="宋体" w:cs="宋体"/>
        </w:rPr>
        <w:t>第三章 评分体系与标准</w:t>
      </w:r>
    </w:p>
    <w:p w14:paraId="268FBEC2">
      <w:pPr>
        <w:snapToGrid w:val="0"/>
        <w:spacing w:line="360" w:lineRule="auto"/>
        <w:ind w:firstLine="600" w:firstLineChars="286"/>
        <w:rPr>
          <w:rFonts w:ascii="宋体" w:hAnsi="宋体" w:cs="宋体"/>
        </w:rPr>
      </w:pPr>
      <w:r>
        <w:rPr>
          <w:rFonts w:hint="eastAsia" w:ascii="宋体" w:hAnsi="宋体" w:cs="宋体"/>
        </w:rPr>
        <w:t>第四章 用户需求书</w:t>
      </w:r>
    </w:p>
    <w:p w14:paraId="0CFBEE1C">
      <w:pPr>
        <w:snapToGrid w:val="0"/>
        <w:spacing w:line="360" w:lineRule="auto"/>
        <w:ind w:firstLine="600" w:firstLineChars="286"/>
        <w:rPr>
          <w:rFonts w:ascii="宋体" w:hAnsi="宋体" w:cs="宋体"/>
        </w:rPr>
      </w:pPr>
      <w:r>
        <w:rPr>
          <w:rFonts w:hint="eastAsia" w:ascii="宋体" w:hAnsi="宋体" w:cs="宋体"/>
        </w:rPr>
        <w:t>第五章 合同通用条款</w:t>
      </w:r>
    </w:p>
    <w:p w14:paraId="179AB849">
      <w:pPr>
        <w:snapToGrid w:val="0"/>
        <w:spacing w:line="360" w:lineRule="auto"/>
        <w:ind w:firstLine="600" w:firstLineChars="286"/>
        <w:rPr>
          <w:rFonts w:ascii="宋体" w:hAnsi="宋体" w:cs="宋体"/>
        </w:rPr>
      </w:pPr>
      <w:r>
        <w:rPr>
          <w:rFonts w:hint="eastAsia" w:ascii="宋体" w:hAnsi="宋体" w:cs="宋体"/>
        </w:rPr>
        <w:t>第六章 响应文件格式</w:t>
      </w:r>
    </w:p>
    <w:p w14:paraId="09AC8EFF">
      <w:pPr>
        <w:snapToGrid w:val="0"/>
        <w:spacing w:line="360" w:lineRule="auto"/>
        <w:ind w:firstLine="600" w:firstLineChars="286"/>
        <w:rPr>
          <w:rFonts w:ascii="宋体" w:hAnsi="宋体" w:cs="宋体"/>
        </w:rPr>
      </w:pPr>
      <w:r>
        <w:rPr>
          <w:rFonts w:hint="eastAsia" w:ascii="宋体" w:hAnsi="宋体" w:cs="宋体"/>
        </w:rPr>
        <w:t>第七章 磋商须知</w:t>
      </w:r>
    </w:p>
    <w:p w14:paraId="5902050F">
      <w:pPr>
        <w:numPr>
          <w:ilvl w:val="1"/>
          <w:numId w:val="32"/>
        </w:numPr>
        <w:tabs>
          <w:tab w:val="left" w:pos="567"/>
          <w:tab w:val="clear" w:pos="360"/>
        </w:tabs>
        <w:snapToGrid w:val="0"/>
        <w:spacing w:line="360" w:lineRule="auto"/>
        <w:ind w:left="567" w:hanging="567"/>
        <w:rPr>
          <w:rFonts w:ascii="宋体" w:hAnsi="宋体" w:cs="宋体"/>
        </w:rPr>
      </w:pPr>
      <w:r>
        <w:rPr>
          <w:rFonts w:hint="eastAsia" w:ascii="宋体" w:hAnsi="宋体" w:cs="宋体"/>
          <w:lang w:eastAsia="zh-TW"/>
        </w:rPr>
        <w:t>响应供应商应认真阅读</w:t>
      </w:r>
      <w:r>
        <w:rPr>
          <w:rFonts w:hint="eastAsia" w:ascii="宋体" w:hAnsi="宋体" w:cs="宋体"/>
        </w:rPr>
        <w:t>、并充分理解竞争性磋商文件的全部内容（包括所有的补充、修改内容、重要事项、格式、条款和技术规范、参数及要求等）。响应供应商没有按照竞争性磋商文件要求提交全部资料，或者响应文件没有对竞争性磋商文件在各方面都作出实质性响应是响应供应商的风险，有可能导致其磋商响应被拒绝，或被认定为无效响应或被确定为响应无效。</w:t>
      </w:r>
    </w:p>
    <w:p w14:paraId="3B35B3AF">
      <w:pPr>
        <w:numPr>
          <w:ilvl w:val="1"/>
          <w:numId w:val="32"/>
        </w:numPr>
        <w:tabs>
          <w:tab w:val="left" w:pos="567"/>
          <w:tab w:val="clear" w:pos="360"/>
        </w:tabs>
        <w:snapToGrid w:val="0"/>
        <w:spacing w:line="360" w:lineRule="auto"/>
        <w:ind w:left="567" w:hanging="567"/>
        <w:rPr>
          <w:rFonts w:ascii="宋体" w:hAnsi="宋体" w:cs="宋体"/>
          <w:lang w:eastAsia="zh-TW"/>
        </w:rPr>
      </w:pPr>
      <w:r>
        <w:rPr>
          <w:rFonts w:hint="eastAsia" w:ascii="宋体" w:hAnsi="宋体" w:cs="宋体"/>
          <w:lang w:eastAsia="zh-TW"/>
        </w:rPr>
        <w:t>本竞争性磋商文件的解释权归“</w:t>
      </w:r>
      <w:r>
        <w:rPr>
          <w:rFonts w:hint="eastAsia" w:ascii="宋体" w:hAnsi="宋体" w:cs="宋体"/>
        </w:rPr>
        <w:t>广东群升招标代理有限公司汕头分公司</w:t>
      </w:r>
      <w:r>
        <w:rPr>
          <w:rFonts w:hint="eastAsia" w:ascii="宋体" w:hAnsi="宋体" w:cs="宋体"/>
          <w:lang w:eastAsia="zh-TW"/>
        </w:rPr>
        <w:t>”所有。</w:t>
      </w:r>
    </w:p>
    <w:p w14:paraId="484A1FFC">
      <w:pPr>
        <w:numPr>
          <w:ilvl w:val="0"/>
          <w:numId w:val="32"/>
        </w:numPr>
        <w:snapToGrid w:val="0"/>
        <w:spacing w:line="360" w:lineRule="auto"/>
        <w:ind w:left="358" w:hanging="358" w:hangingChars="170"/>
        <w:jc w:val="both"/>
        <w:outlineLvl w:val="2"/>
        <w:rPr>
          <w:rFonts w:ascii="宋体" w:hAnsi="宋体"/>
          <w:b/>
          <w:bCs/>
        </w:rPr>
      </w:pPr>
      <w:bookmarkStart w:id="149" w:name="_Toc410738941"/>
      <w:bookmarkStart w:id="150" w:name="_Toc410736141"/>
      <w:bookmarkStart w:id="151" w:name="_Toc416770219"/>
      <w:bookmarkStart w:id="152" w:name="_Toc416771329"/>
      <w:r>
        <w:rPr>
          <w:rFonts w:hint="eastAsia" w:ascii="宋体" w:hAnsi="宋体"/>
          <w:b/>
          <w:bCs/>
        </w:rPr>
        <w:t>竞争性磋商文件的澄清</w:t>
      </w:r>
      <w:bookmarkEnd w:id="149"/>
      <w:bookmarkEnd w:id="150"/>
      <w:r>
        <w:rPr>
          <w:rFonts w:hint="eastAsia" w:ascii="宋体" w:hAnsi="宋体"/>
          <w:b/>
          <w:bCs/>
        </w:rPr>
        <w:t>及修改</w:t>
      </w:r>
      <w:bookmarkEnd w:id="151"/>
      <w:bookmarkEnd w:id="152"/>
    </w:p>
    <w:p w14:paraId="5761BFA4">
      <w:pPr>
        <w:numPr>
          <w:ilvl w:val="1"/>
          <w:numId w:val="32"/>
        </w:numPr>
        <w:snapToGrid w:val="0"/>
        <w:spacing w:line="360" w:lineRule="auto"/>
        <w:jc w:val="both"/>
        <w:rPr>
          <w:rFonts w:ascii="宋体" w:hAnsi="宋体" w:cs="宋体"/>
          <w:lang w:eastAsia="zh-TW"/>
        </w:rPr>
      </w:pPr>
      <w:r>
        <w:rPr>
          <w:rFonts w:hint="eastAsia" w:ascii="宋体" w:hAnsi="宋体" w:cs="宋体"/>
        </w:rPr>
        <w:t>采购人</w:t>
      </w:r>
      <w:r>
        <w:rPr>
          <w:rFonts w:hint="eastAsia" w:ascii="宋体" w:hAnsi="宋体" w:cs="宋体"/>
          <w:lang w:eastAsia="zh-TW"/>
        </w:rPr>
        <w:t>可以主动地或在解答响应供应商提出的疑问时对已发出的竞争性磋商文件进行必要的澄清或修改</w:t>
      </w:r>
      <w:r>
        <w:rPr>
          <w:rFonts w:hint="eastAsia" w:ascii="宋体" w:hAnsi="宋体" w:cs="宋体"/>
        </w:rPr>
        <w:t>，</w:t>
      </w:r>
      <w:r>
        <w:rPr>
          <w:rFonts w:hint="eastAsia" w:ascii="宋体" w:hAnsi="宋体" w:cs="宋体"/>
          <w:lang w:eastAsia="zh-TW"/>
        </w:rPr>
        <w:t>澄清或者修改应当在原公告发布媒体上发布澄清</w:t>
      </w:r>
      <w:r>
        <w:rPr>
          <w:rFonts w:hint="eastAsia" w:ascii="宋体" w:hAnsi="宋体"/>
        </w:rPr>
        <w:t>（更正/变更）</w:t>
      </w:r>
      <w:r>
        <w:rPr>
          <w:rFonts w:hint="eastAsia" w:ascii="宋体" w:hAnsi="宋体" w:cs="宋体"/>
          <w:lang w:eastAsia="zh-TW"/>
        </w:rPr>
        <w:t>公告</w:t>
      </w:r>
      <w:r>
        <w:rPr>
          <w:rFonts w:hint="eastAsia" w:ascii="宋体" w:hAnsi="宋体" w:cs="宋体"/>
        </w:rPr>
        <w:t>。</w:t>
      </w:r>
    </w:p>
    <w:p w14:paraId="4895BE89">
      <w:pPr>
        <w:numPr>
          <w:ilvl w:val="1"/>
          <w:numId w:val="32"/>
        </w:numPr>
        <w:snapToGrid w:val="0"/>
        <w:spacing w:line="360" w:lineRule="auto"/>
        <w:jc w:val="both"/>
        <w:rPr>
          <w:rFonts w:ascii="宋体" w:hAnsi="宋体" w:cs="宋体"/>
          <w:lang w:eastAsia="zh-TW"/>
        </w:rPr>
      </w:pPr>
      <w:r>
        <w:rPr>
          <w:rFonts w:hint="eastAsia" w:ascii="宋体" w:hAnsi="宋体" w:cs="宋体"/>
          <w:lang w:eastAsia="zh-TW"/>
        </w:rPr>
        <w:t>澄清或者修改的内容可能影响响应文件编制的，采购人、采购代理机构应当在提交首次响应文件截止时间至少5日前，以书面形式通知所有获取磋商文件的供应商；不足5日的，采购人、采购代理机构应当顺延提交首次响应文件截止时间</w:t>
      </w:r>
      <w:r>
        <w:rPr>
          <w:rFonts w:hint="eastAsia" w:ascii="宋体" w:hAnsi="宋体" w:cs="宋体"/>
        </w:rPr>
        <w:t>。</w:t>
      </w:r>
    </w:p>
    <w:p w14:paraId="2E8AF0A7">
      <w:pPr>
        <w:numPr>
          <w:ilvl w:val="1"/>
          <w:numId w:val="32"/>
        </w:numPr>
        <w:snapToGrid w:val="0"/>
        <w:spacing w:line="360" w:lineRule="auto"/>
        <w:jc w:val="both"/>
        <w:rPr>
          <w:rFonts w:ascii="宋体" w:hAnsi="宋体" w:cs="宋体"/>
          <w:lang w:eastAsia="zh-TW"/>
        </w:rPr>
      </w:pPr>
      <w:r>
        <w:rPr>
          <w:rFonts w:hint="eastAsia" w:ascii="宋体" w:hAnsi="宋体" w:cs="宋体"/>
          <w:lang w:eastAsia="zh-TW"/>
        </w:rPr>
        <w:t>采购人或者采购代理机构将澄清（更正/变更）公告</w:t>
      </w:r>
      <w:r>
        <w:rPr>
          <w:rFonts w:hint="eastAsia" w:ascii="宋体" w:hAnsi="宋体" w:cs="宋体"/>
        </w:rPr>
        <w:t>书面</w:t>
      </w:r>
      <w:r>
        <w:rPr>
          <w:rFonts w:hint="eastAsia" w:ascii="宋体" w:hAnsi="宋体" w:cs="宋体"/>
          <w:lang w:eastAsia="zh-TW"/>
        </w:rPr>
        <w:t>通知已办理报名并成功购买</w:t>
      </w:r>
      <w:r>
        <w:rPr>
          <w:rFonts w:hint="eastAsia" w:ascii="宋体" w:hAnsi="宋体" w:cs="宋体"/>
        </w:rPr>
        <w:t>磋商</w:t>
      </w:r>
      <w:r>
        <w:rPr>
          <w:rFonts w:hint="eastAsia" w:ascii="宋体" w:hAnsi="宋体" w:cs="宋体"/>
          <w:lang w:eastAsia="zh-TW"/>
        </w:rPr>
        <w:t>文件的供应商</w:t>
      </w:r>
      <w:r>
        <w:rPr>
          <w:rFonts w:hint="eastAsia" w:ascii="宋体" w:hAnsi="宋体" w:cs="宋体"/>
        </w:rPr>
        <w:t>。</w:t>
      </w:r>
      <w:r>
        <w:rPr>
          <w:rFonts w:hint="eastAsia" w:ascii="宋体" w:hAnsi="宋体" w:cs="宋体"/>
          <w:lang w:eastAsia="zh-TW"/>
        </w:rPr>
        <w:t>其供应商在收到澄清或修改（更正/变更）通知后应按要求以书面形式（传真或电子邮件）予以确认。如在24小时之内无书面确认则视为</w:t>
      </w:r>
      <w:r>
        <w:rPr>
          <w:rFonts w:hint="eastAsia" w:ascii="宋体" w:hAnsi="宋体" w:cs="宋体"/>
        </w:rPr>
        <w:t>收到</w:t>
      </w:r>
      <w:r>
        <w:rPr>
          <w:rFonts w:hint="eastAsia" w:ascii="宋体" w:hAnsi="宋体" w:cs="宋体"/>
          <w:lang w:eastAsia="zh-TW"/>
        </w:rPr>
        <w:t>澄清（更正/变更）公告，并有责任履行相应的义务</w:t>
      </w:r>
      <w:r>
        <w:rPr>
          <w:rFonts w:hint="eastAsia" w:ascii="宋体" w:hAnsi="宋体" w:cs="宋体"/>
        </w:rPr>
        <w:t>。</w:t>
      </w:r>
    </w:p>
    <w:p w14:paraId="3A0FC982">
      <w:pPr>
        <w:numPr>
          <w:ilvl w:val="1"/>
          <w:numId w:val="32"/>
        </w:numPr>
        <w:snapToGrid w:val="0"/>
        <w:spacing w:line="360" w:lineRule="auto"/>
        <w:jc w:val="both"/>
        <w:rPr>
          <w:rFonts w:ascii="宋体" w:hAnsi="宋体" w:cs="宋体"/>
          <w:lang w:eastAsia="zh-TW"/>
        </w:rPr>
      </w:pPr>
      <w:r>
        <w:rPr>
          <w:rFonts w:hint="eastAsia" w:ascii="宋体" w:hAnsi="宋体" w:cs="宋体"/>
        </w:rPr>
        <w:t>采购人发出的</w:t>
      </w:r>
      <w:r>
        <w:rPr>
          <w:rFonts w:hint="eastAsia" w:ascii="宋体" w:hAnsi="宋体"/>
        </w:rPr>
        <w:t>澄清或修改（更正）的内容为竞争性磋商文件的组成部分，</w:t>
      </w:r>
      <w:r>
        <w:rPr>
          <w:rFonts w:hint="eastAsia" w:ascii="宋体" w:hAnsi="宋体" w:cs="宋体"/>
          <w:lang w:eastAsia="zh-TW"/>
        </w:rPr>
        <w:t>并对潜在响应供应商具有约束力</w:t>
      </w:r>
      <w:r>
        <w:rPr>
          <w:rFonts w:hint="eastAsia" w:ascii="宋体" w:hAnsi="宋体" w:cs="宋体"/>
        </w:rPr>
        <w:t>。</w:t>
      </w:r>
    </w:p>
    <w:p w14:paraId="207C3EDC">
      <w:pPr>
        <w:numPr>
          <w:ilvl w:val="1"/>
          <w:numId w:val="32"/>
        </w:numPr>
        <w:snapToGrid w:val="0"/>
        <w:spacing w:line="360" w:lineRule="auto"/>
        <w:jc w:val="both"/>
        <w:rPr>
          <w:rFonts w:ascii="宋体" w:hAnsi="宋体" w:cs="宋体"/>
        </w:rPr>
      </w:pPr>
      <w:r>
        <w:rPr>
          <w:rFonts w:hint="eastAsia" w:ascii="宋体" w:hAnsi="宋体" w:cs="宋体"/>
          <w:lang w:eastAsia="zh-TW"/>
        </w:rPr>
        <w:t>响应供应商在规定的时间内未对竞争性磋商文件澄清或提出疑问的</w:t>
      </w:r>
      <w:r>
        <w:rPr>
          <w:rFonts w:hint="eastAsia" w:ascii="宋体" w:hAnsi="宋体" w:cs="宋体"/>
        </w:rPr>
        <w:t>，</w:t>
      </w:r>
      <w:r>
        <w:rPr>
          <w:rFonts w:hint="eastAsia" w:ascii="宋体" w:hAnsi="宋体" w:cs="宋体"/>
          <w:lang w:eastAsia="zh-TW"/>
        </w:rPr>
        <w:t>招标采购单位将视其为无异议。对竞争性磋商文件中描述有歧意或前后不一致的地方，</w:t>
      </w:r>
      <w:r>
        <w:rPr>
          <w:rFonts w:hint="eastAsia" w:ascii="宋体" w:hAnsi="宋体" w:cs="宋体"/>
        </w:rPr>
        <w:t>磋商小组</w:t>
      </w:r>
      <w:r>
        <w:rPr>
          <w:rFonts w:hint="eastAsia" w:ascii="宋体" w:hAnsi="宋体" w:cs="宋体"/>
          <w:lang w:eastAsia="zh-TW"/>
        </w:rPr>
        <w:t>有权进行评判，但对同一条款的评判应适用于每个响应供应商。</w:t>
      </w:r>
    </w:p>
    <w:p w14:paraId="594634AA">
      <w:pPr>
        <w:numPr>
          <w:ilvl w:val="0"/>
          <w:numId w:val="32"/>
        </w:numPr>
        <w:snapToGrid w:val="0"/>
        <w:spacing w:line="360" w:lineRule="auto"/>
        <w:ind w:left="358" w:hanging="358" w:hangingChars="170"/>
        <w:jc w:val="both"/>
        <w:outlineLvl w:val="2"/>
        <w:rPr>
          <w:rFonts w:ascii="宋体" w:hAnsi="宋体"/>
          <w:b/>
          <w:bCs/>
        </w:rPr>
      </w:pPr>
      <w:bookmarkStart w:id="153" w:name="_Toc434343657"/>
      <w:bookmarkStart w:id="154" w:name="_Toc433127757"/>
      <w:r>
        <w:rPr>
          <w:rFonts w:hint="eastAsia" w:ascii="宋体" w:hAnsi="宋体"/>
          <w:b/>
          <w:bCs/>
        </w:rPr>
        <w:t>竞争性磋商文件的答疑或现场考察</w:t>
      </w:r>
      <w:bookmarkEnd w:id="153"/>
      <w:bookmarkEnd w:id="154"/>
    </w:p>
    <w:p w14:paraId="39EEF0F7">
      <w:pPr>
        <w:numPr>
          <w:ilvl w:val="1"/>
          <w:numId w:val="32"/>
        </w:numPr>
        <w:tabs>
          <w:tab w:val="left" w:pos="567"/>
          <w:tab w:val="clear" w:pos="360"/>
        </w:tabs>
        <w:snapToGrid w:val="0"/>
        <w:spacing w:line="360" w:lineRule="auto"/>
        <w:ind w:left="567" w:hanging="567"/>
        <w:rPr>
          <w:rFonts w:ascii="宋体" w:hAnsi="宋体" w:cs="宋体"/>
        </w:rPr>
      </w:pPr>
      <w:r>
        <w:rPr>
          <w:rFonts w:hint="eastAsia" w:ascii="宋体" w:hAnsi="宋体" w:cs="宋体"/>
          <w:lang w:eastAsia="zh-TW"/>
        </w:rPr>
        <w:t>除非</w:t>
      </w:r>
      <w:r>
        <w:rPr>
          <w:rFonts w:hint="eastAsia" w:ascii="宋体" w:hAnsi="宋体" w:cs="黑体"/>
          <w:b/>
        </w:rPr>
        <w:t>磋商资料表</w:t>
      </w:r>
      <w:r>
        <w:rPr>
          <w:rFonts w:hint="eastAsia" w:ascii="宋体" w:hAnsi="宋体" w:cs="宋体"/>
        </w:rPr>
        <w:t>中另有规定，不举行项目集中答疑会或现场考察，如举行集中答疑会或现场考察的，则按以下规定：</w:t>
      </w:r>
    </w:p>
    <w:p w14:paraId="16D36FE7">
      <w:pPr>
        <w:numPr>
          <w:ilvl w:val="2"/>
          <w:numId w:val="32"/>
        </w:numPr>
        <w:snapToGrid w:val="0"/>
        <w:spacing w:line="360" w:lineRule="auto"/>
        <w:rPr>
          <w:rFonts w:ascii="宋体" w:hAnsi="宋体" w:cs="宋体"/>
        </w:rPr>
      </w:pPr>
      <w:r>
        <w:rPr>
          <w:rFonts w:hint="eastAsia" w:ascii="宋体" w:hAnsi="宋体" w:cs="宋体"/>
          <w:lang w:eastAsia="zh-TW"/>
        </w:rPr>
        <w:t>在</w:t>
      </w:r>
      <w:r>
        <w:rPr>
          <w:rFonts w:hint="eastAsia" w:ascii="宋体" w:hAnsi="宋体" w:cs="黑体"/>
          <w:b/>
          <w:lang w:eastAsia="zh-TW"/>
        </w:rPr>
        <w:t>磋商资料表</w:t>
      </w:r>
      <w:r>
        <w:rPr>
          <w:rFonts w:hint="eastAsia" w:ascii="宋体" w:hAnsi="宋体" w:cs="宋体"/>
        </w:rPr>
        <w:t>中规定的日期、时间和地点组织公开答疑会或现场考察；</w:t>
      </w:r>
    </w:p>
    <w:p w14:paraId="7B160BDF">
      <w:pPr>
        <w:numPr>
          <w:ilvl w:val="2"/>
          <w:numId w:val="32"/>
        </w:numPr>
        <w:snapToGrid w:val="0"/>
        <w:spacing w:line="360" w:lineRule="auto"/>
        <w:jc w:val="both"/>
        <w:rPr>
          <w:rFonts w:ascii="宋体" w:hAnsi="宋体" w:cs="宋体"/>
          <w:lang w:eastAsia="zh-TW"/>
        </w:rPr>
      </w:pPr>
      <w:r>
        <w:rPr>
          <w:rFonts w:hint="eastAsia" w:ascii="宋体" w:hAnsi="宋体" w:cs="宋体"/>
          <w:lang w:eastAsia="zh-TW"/>
        </w:rPr>
        <w:t>供应商对本项目提出的疑问，需在答疑会</w:t>
      </w:r>
      <w:r>
        <w:rPr>
          <w:rFonts w:hint="eastAsia" w:ascii="宋体" w:hAnsi="宋体" w:cs="宋体"/>
        </w:rPr>
        <w:t>或现场考察</w:t>
      </w:r>
      <w:r>
        <w:rPr>
          <w:rFonts w:hint="eastAsia" w:ascii="宋体" w:hAnsi="宋体" w:cs="宋体"/>
          <w:lang w:eastAsia="zh-TW"/>
        </w:rPr>
        <w:t>召开日前至少一个工作日将问题清单以书面形式（加盖公章）提交至采购代理机构，供应商代表于上述的时间和地点出席答疑会</w:t>
      </w:r>
      <w:r>
        <w:rPr>
          <w:rFonts w:hint="eastAsia" w:ascii="宋体" w:hAnsi="宋体" w:cs="宋体"/>
        </w:rPr>
        <w:t>或现场考察</w:t>
      </w:r>
      <w:r>
        <w:rPr>
          <w:rFonts w:hint="eastAsia" w:ascii="宋体" w:hAnsi="宋体" w:cs="宋体"/>
          <w:lang w:eastAsia="zh-TW"/>
        </w:rPr>
        <w:t>；</w:t>
      </w:r>
    </w:p>
    <w:p w14:paraId="14D9669C">
      <w:pPr>
        <w:snapToGrid w:val="0"/>
        <w:spacing w:line="360" w:lineRule="auto"/>
        <w:ind w:left="357"/>
        <w:jc w:val="center"/>
        <w:outlineLvl w:val="2"/>
        <w:rPr>
          <w:rFonts w:ascii="仿宋_GB2312" w:hAnsi="宋体" w:eastAsia="仿宋_GB2312"/>
          <w:b/>
          <w:bCs/>
          <w:sz w:val="28"/>
          <w:szCs w:val="28"/>
        </w:rPr>
      </w:pPr>
      <w:bookmarkStart w:id="155" w:name="_Toc410738943"/>
      <w:bookmarkStart w:id="156" w:name="_Toc416771330"/>
      <w:bookmarkStart w:id="157" w:name="_Toc416770220"/>
      <w:bookmarkStart w:id="158" w:name="_Toc410736143"/>
    </w:p>
    <w:p w14:paraId="33E599FD">
      <w:pPr>
        <w:snapToGrid w:val="0"/>
        <w:spacing w:line="360" w:lineRule="auto"/>
        <w:ind w:left="357"/>
        <w:jc w:val="center"/>
        <w:outlineLvl w:val="2"/>
        <w:rPr>
          <w:rFonts w:ascii="仿宋_GB2312" w:hAnsi="宋体" w:eastAsia="仿宋_GB2312"/>
          <w:b/>
          <w:bCs/>
          <w:sz w:val="28"/>
          <w:szCs w:val="28"/>
        </w:rPr>
      </w:pPr>
    </w:p>
    <w:p w14:paraId="54BAD520">
      <w:pPr>
        <w:snapToGrid w:val="0"/>
        <w:spacing w:line="360" w:lineRule="auto"/>
        <w:ind w:left="357"/>
        <w:jc w:val="center"/>
        <w:outlineLvl w:val="2"/>
        <w:rPr>
          <w:rFonts w:ascii="仿宋_GB2312" w:hAnsi="宋体" w:eastAsia="仿宋_GB2312"/>
          <w:b/>
          <w:bCs/>
          <w:sz w:val="28"/>
          <w:szCs w:val="28"/>
        </w:rPr>
      </w:pPr>
      <w:r>
        <w:rPr>
          <w:rFonts w:hint="eastAsia" w:ascii="仿宋_GB2312" w:hAnsi="宋体" w:eastAsia="仿宋_GB2312"/>
          <w:b/>
          <w:bCs/>
          <w:sz w:val="28"/>
          <w:szCs w:val="28"/>
        </w:rPr>
        <w:t>三、响应文件的编制</w:t>
      </w:r>
      <w:bookmarkEnd w:id="155"/>
      <w:bookmarkEnd w:id="156"/>
      <w:bookmarkEnd w:id="157"/>
      <w:bookmarkEnd w:id="158"/>
    </w:p>
    <w:p w14:paraId="45F8D8C4">
      <w:pPr>
        <w:numPr>
          <w:ilvl w:val="0"/>
          <w:numId w:val="32"/>
        </w:numPr>
        <w:snapToGrid w:val="0"/>
        <w:spacing w:line="360" w:lineRule="auto"/>
        <w:ind w:left="358" w:hanging="358" w:hangingChars="170"/>
        <w:jc w:val="both"/>
        <w:outlineLvl w:val="2"/>
        <w:rPr>
          <w:rFonts w:ascii="宋体" w:hAnsi="宋体"/>
          <w:b/>
          <w:bCs/>
        </w:rPr>
      </w:pPr>
      <w:bookmarkStart w:id="159" w:name="_Toc416771331"/>
      <w:bookmarkStart w:id="160" w:name="_Toc410738944"/>
      <w:bookmarkStart w:id="161" w:name="_Toc416770221"/>
      <w:bookmarkStart w:id="162" w:name="_Toc410736144"/>
      <w:r>
        <w:rPr>
          <w:rFonts w:hint="eastAsia" w:ascii="宋体" w:hAnsi="宋体"/>
          <w:b/>
          <w:bCs/>
        </w:rPr>
        <w:t>磋商的语言</w:t>
      </w:r>
      <w:bookmarkEnd w:id="159"/>
      <w:bookmarkEnd w:id="160"/>
      <w:bookmarkEnd w:id="161"/>
      <w:bookmarkEnd w:id="162"/>
    </w:p>
    <w:p w14:paraId="46ADAA37">
      <w:pPr>
        <w:numPr>
          <w:ilvl w:val="1"/>
          <w:numId w:val="32"/>
        </w:numPr>
        <w:tabs>
          <w:tab w:val="left" w:pos="567"/>
          <w:tab w:val="clear" w:pos="360"/>
        </w:tabs>
        <w:snapToGrid w:val="0"/>
        <w:spacing w:line="360" w:lineRule="auto"/>
        <w:ind w:left="567" w:hanging="567"/>
        <w:rPr>
          <w:rFonts w:ascii="宋体" w:hAnsi="宋体"/>
        </w:rPr>
      </w:pPr>
      <w:r>
        <w:rPr>
          <w:rFonts w:hint="eastAsia" w:ascii="宋体" w:hAnsi="宋体" w:cs="宋体"/>
          <w:lang w:eastAsia="zh-TW"/>
        </w:rPr>
        <w:t>响应供应商提交的响应文件以及响应供应商与招标采购单位就有关磋商的所有来往函电均</w:t>
      </w:r>
      <w:r>
        <w:rPr>
          <w:rFonts w:hint="eastAsia" w:ascii="宋体" w:hAnsi="宋体" w:cs="宋体"/>
        </w:rPr>
        <w:t>应</w:t>
      </w:r>
      <w:r>
        <w:rPr>
          <w:rFonts w:hint="eastAsia" w:ascii="宋体" w:hAnsi="宋体" w:cs="宋体"/>
          <w:lang w:eastAsia="zh-TW"/>
        </w:rPr>
        <w:t>使用中文书写。</w:t>
      </w:r>
      <w:r>
        <w:rPr>
          <w:rFonts w:hint="eastAsia" w:ascii="宋体" w:hAnsi="宋体" w:cs="宋体"/>
        </w:rPr>
        <w:t>响应供应商</w:t>
      </w:r>
      <w:r>
        <w:rPr>
          <w:rFonts w:hint="eastAsia" w:ascii="宋体" w:hAnsi="宋体" w:cs="宋体"/>
          <w:lang w:eastAsia="zh-TW"/>
        </w:rPr>
        <w:t>提交的支持文件或印刷的资料可以用另一种语言</w:t>
      </w:r>
      <w:r>
        <w:rPr>
          <w:rFonts w:hint="eastAsia" w:ascii="宋体" w:hAnsi="宋体" w:cs="宋体"/>
        </w:rPr>
        <w:t>，</w:t>
      </w:r>
      <w:r>
        <w:rPr>
          <w:rFonts w:hint="eastAsia" w:ascii="宋体" w:hAnsi="宋体" w:cs="宋体"/>
          <w:lang w:eastAsia="zh-TW"/>
        </w:rPr>
        <w:t>但相应内容应附有中文翻译本</w:t>
      </w:r>
      <w:r>
        <w:rPr>
          <w:rFonts w:hint="eastAsia" w:ascii="宋体" w:hAnsi="宋体" w:cs="宋体"/>
        </w:rPr>
        <w:t>，由翻译机构盖章或者翻译人员签名。</w:t>
      </w:r>
      <w:r>
        <w:rPr>
          <w:rFonts w:hint="eastAsia" w:ascii="宋体" w:hAnsi="宋体"/>
        </w:rPr>
        <w:t>两种语言不一致时以中文翻译本为准</w:t>
      </w:r>
      <w:r>
        <w:rPr>
          <w:rFonts w:hint="eastAsia" w:ascii="宋体" w:hAnsi="宋体" w:cs="宋体"/>
          <w:lang w:eastAsia="zh-TW"/>
        </w:rPr>
        <w:t>。</w:t>
      </w:r>
    </w:p>
    <w:p w14:paraId="1EE313A2">
      <w:pPr>
        <w:numPr>
          <w:ilvl w:val="0"/>
          <w:numId w:val="32"/>
        </w:numPr>
        <w:snapToGrid w:val="0"/>
        <w:spacing w:line="360" w:lineRule="auto"/>
        <w:ind w:left="358" w:hanging="358" w:hangingChars="170"/>
        <w:jc w:val="both"/>
        <w:outlineLvl w:val="2"/>
        <w:rPr>
          <w:rFonts w:ascii="宋体" w:hAnsi="宋体"/>
          <w:b/>
          <w:bCs/>
        </w:rPr>
      </w:pPr>
      <w:bookmarkStart w:id="163" w:name="_Toc410736145"/>
      <w:bookmarkStart w:id="164" w:name="_Toc410738945"/>
      <w:bookmarkStart w:id="165" w:name="_Toc416770222"/>
      <w:bookmarkStart w:id="166" w:name="_Toc416771332"/>
      <w:r>
        <w:rPr>
          <w:rFonts w:hint="eastAsia" w:ascii="宋体" w:hAnsi="宋体"/>
          <w:b/>
          <w:bCs/>
        </w:rPr>
        <w:t>响应文件的构成</w:t>
      </w:r>
      <w:bookmarkEnd w:id="163"/>
      <w:bookmarkEnd w:id="164"/>
      <w:bookmarkEnd w:id="165"/>
      <w:bookmarkEnd w:id="166"/>
    </w:p>
    <w:p w14:paraId="61E0E206">
      <w:pPr>
        <w:numPr>
          <w:ilvl w:val="1"/>
          <w:numId w:val="32"/>
        </w:numPr>
        <w:tabs>
          <w:tab w:val="left" w:pos="567"/>
          <w:tab w:val="clear" w:pos="360"/>
        </w:tabs>
        <w:snapToGrid w:val="0"/>
        <w:spacing w:line="360" w:lineRule="auto"/>
        <w:ind w:left="567" w:hanging="567"/>
        <w:rPr>
          <w:rFonts w:ascii="宋体" w:hAnsi="宋体" w:cs="宋体"/>
          <w:lang w:eastAsia="zh-TW"/>
        </w:rPr>
      </w:pPr>
      <w:r>
        <w:rPr>
          <w:rFonts w:hint="eastAsia" w:ascii="宋体" w:hAnsi="宋体" w:cs="宋体"/>
          <w:lang w:eastAsia="zh-TW"/>
        </w:rPr>
        <w:t>响应供应商编写的响应文件应包括</w:t>
      </w:r>
      <w:r>
        <w:rPr>
          <w:rFonts w:hint="eastAsia" w:ascii="宋体" w:hAnsi="宋体" w:cs="宋体"/>
        </w:rPr>
        <w:t>初审文件、技术文件、商务文件</w:t>
      </w:r>
      <w:r>
        <w:rPr>
          <w:rFonts w:hint="eastAsia" w:ascii="宋体" w:hAnsi="宋体" w:cs="宋体"/>
          <w:lang w:eastAsia="zh-TW"/>
        </w:rPr>
        <w:t>，编排顺序参见响应文件格式</w:t>
      </w:r>
      <w:r>
        <w:rPr>
          <w:rFonts w:hint="eastAsia" w:ascii="宋体" w:hAnsi="宋体" w:cs="宋体"/>
        </w:rPr>
        <w:t>。</w:t>
      </w:r>
    </w:p>
    <w:p w14:paraId="2E110AD6">
      <w:pPr>
        <w:numPr>
          <w:ilvl w:val="0"/>
          <w:numId w:val="0"/>
        </w:numPr>
        <w:snapToGrid w:val="0"/>
        <w:spacing w:line="360" w:lineRule="auto"/>
        <w:ind w:leftChars="0"/>
        <w:jc w:val="both"/>
        <w:rPr>
          <w:rFonts w:ascii="宋体" w:hAnsi="宋体" w:cs="宋体"/>
          <w:lang w:eastAsia="zh-TW"/>
        </w:rPr>
      </w:pPr>
      <w:r>
        <w:rPr>
          <w:rFonts w:hint="eastAsia" w:ascii="宋体" w:hAnsi="宋体" w:cs="宋体"/>
          <w:lang w:val="en-US" w:eastAsia="zh-CN"/>
        </w:rPr>
        <w:t xml:space="preserve">11.2 </w:t>
      </w:r>
      <w:r>
        <w:rPr>
          <w:rFonts w:hint="eastAsia" w:ascii="宋体" w:hAnsi="宋体" w:cs="宋体"/>
          <w:lang w:eastAsia="zh-TW"/>
        </w:rPr>
        <w:t>响应文件的构成应符合法律法规及竞争性磋商文件的要求。</w:t>
      </w:r>
    </w:p>
    <w:p w14:paraId="3F96D640">
      <w:pPr>
        <w:numPr>
          <w:ilvl w:val="0"/>
          <w:numId w:val="32"/>
        </w:numPr>
        <w:snapToGrid w:val="0"/>
        <w:spacing w:line="360" w:lineRule="auto"/>
        <w:ind w:left="358" w:hanging="358" w:hangingChars="170"/>
        <w:jc w:val="both"/>
        <w:outlineLvl w:val="2"/>
        <w:rPr>
          <w:rFonts w:ascii="宋体" w:hAnsi="宋体"/>
          <w:b/>
          <w:bCs/>
        </w:rPr>
      </w:pPr>
      <w:bookmarkStart w:id="167" w:name="_Toc410736146"/>
      <w:bookmarkStart w:id="168" w:name="_Toc410738946"/>
      <w:bookmarkStart w:id="169" w:name="_Toc416770223"/>
      <w:bookmarkStart w:id="170" w:name="_Toc416771333"/>
      <w:r>
        <w:rPr>
          <w:rFonts w:hint="eastAsia" w:ascii="宋体" w:hAnsi="宋体"/>
          <w:b/>
          <w:bCs/>
        </w:rPr>
        <w:t>响应文件的编写</w:t>
      </w:r>
      <w:bookmarkEnd w:id="167"/>
      <w:bookmarkEnd w:id="168"/>
      <w:bookmarkEnd w:id="169"/>
      <w:bookmarkEnd w:id="170"/>
    </w:p>
    <w:p w14:paraId="17424689">
      <w:pPr>
        <w:numPr>
          <w:ilvl w:val="1"/>
          <w:numId w:val="32"/>
        </w:numPr>
        <w:tabs>
          <w:tab w:val="left" w:pos="709"/>
          <w:tab w:val="clear" w:pos="360"/>
        </w:tabs>
        <w:snapToGrid w:val="0"/>
        <w:spacing w:line="360" w:lineRule="auto"/>
        <w:ind w:left="709" w:hanging="709"/>
        <w:rPr>
          <w:rFonts w:ascii="宋体" w:hAnsi="宋体" w:cs="宋体"/>
        </w:rPr>
      </w:pPr>
      <w:r>
        <w:rPr>
          <w:rFonts w:hint="eastAsia" w:ascii="宋体" w:hAnsi="宋体" w:cs="宋体"/>
          <w:lang w:eastAsia="zh-TW"/>
        </w:rPr>
        <w:t>响应供应商应完整</w:t>
      </w:r>
      <w:r>
        <w:rPr>
          <w:rFonts w:hint="eastAsia" w:ascii="宋体" w:hAnsi="宋体" w:cs="宋体"/>
        </w:rPr>
        <w:t>、真实、准确</w:t>
      </w:r>
      <w:r>
        <w:rPr>
          <w:rFonts w:hint="eastAsia" w:ascii="宋体" w:hAnsi="宋体" w:cs="宋体"/>
          <w:lang w:eastAsia="zh-TW"/>
        </w:rPr>
        <w:t>地填写竞争性磋商文件中提供的磋商函、报价表以及竞争性磋商文件中规定的其它</w:t>
      </w:r>
      <w:r>
        <w:rPr>
          <w:rFonts w:hint="eastAsia" w:ascii="宋体" w:hAnsi="宋体" w:cs="宋体"/>
        </w:rPr>
        <w:t>所有</w:t>
      </w:r>
      <w:r>
        <w:rPr>
          <w:rFonts w:hint="eastAsia" w:ascii="宋体" w:hAnsi="宋体" w:cs="宋体"/>
          <w:lang w:eastAsia="zh-TW"/>
        </w:rPr>
        <w:t>内容。</w:t>
      </w:r>
    </w:p>
    <w:p w14:paraId="3B8AB018">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响应供应商对竞争性磋商文件中多个包组进行磋商的，其响应文件的编制</w:t>
      </w:r>
      <w:r>
        <w:rPr>
          <w:rFonts w:hint="eastAsia" w:ascii="宋体" w:hAnsi="宋体" w:cs="宋体"/>
        </w:rPr>
        <w:t>可按</w:t>
      </w:r>
      <w:r>
        <w:rPr>
          <w:rFonts w:hint="eastAsia" w:ascii="宋体" w:hAnsi="宋体" w:cs="宋体"/>
          <w:lang w:eastAsia="zh-TW"/>
        </w:rPr>
        <w:t>每个包组的要求分别装订和</w:t>
      </w:r>
      <w:r>
        <w:rPr>
          <w:rFonts w:hint="eastAsia" w:ascii="宋体" w:hAnsi="宋体" w:cs="宋体"/>
        </w:rPr>
        <w:t>密封</w:t>
      </w:r>
      <w:r>
        <w:rPr>
          <w:rFonts w:hint="eastAsia" w:ascii="宋体" w:hAnsi="宋体" w:cs="宋体"/>
          <w:lang w:eastAsia="zh-TW"/>
        </w:rPr>
        <w:t>。响应供应商应当对响应文件进行装订，对未经装订的响应文件可能发生的文件散落或缺损，由此造成的后果</w:t>
      </w:r>
      <w:r>
        <w:rPr>
          <w:rFonts w:hint="eastAsia" w:ascii="宋体" w:hAnsi="宋体" w:cs="宋体"/>
        </w:rPr>
        <w:t>和</w:t>
      </w:r>
      <w:r>
        <w:rPr>
          <w:rFonts w:hint="eastAsia" w:ascii="宋体" w:hAnsi="宋体" w:cs="宋体"/>
          <w:lang w:eastAsia="zh-TW"/>
        </w:rPr>
        <w:t>责任由响应供应商承担</w:t>
      </w:r>
      <w:r>
        <w:rPr>
          <w:rFonts w:hint="eastAsia" w:ascii="宋体" w:hAnsi="宋体" w:cs="宋体"/>
        </w:rPr>
        <w:t>。</w:t>
      </w:r>
    </w:p>
    <w:p w14:paraId="3C63CBEE">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响应供应商必须对响应文件所提供的全部资料的真实性承担法律责任，并无条件接受招标采购单位及政府采购监督管理部门等对其中任何资料进行核实的要求。</w:t>
      </w:r>
    </w:p>
    <w:p w14:paraId="3FD9023B">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如果因为响应供应商</w:t>
      </w:r>
      <w:r>
        <w:rPr>
          <w:rFonts w:hint="eastAsia" w:ascii="宋体" w:hAnsi="宋体" w:cs="宋体"/>
        </w:rPr>
        <w:t>的响应文件</w:t>
      </w:r>
      <w:r>
        <w:rPr>
          <w:rFonts w:hint="eastAsia" w:ascii="宋体" w:hAnsi="宋体" w:cs="宋体"/>
          <w:lang w:eastAsia="zh-TW"/>
        </w:rPr>
        <w:t>只填写和提供了本</w:t>
      </w:r>
      <w:r>
        <w:rPr>
          <w:rFonts w:hint="eastAsia" w:ascii="宋体" w:hAnsi="宋体" w:cs="宋体"/>
        </w:rPr>
        <w:t>竞争性磋商文件</w:t>
      </w:r>
      <w:r>
        <w:rPr>
          <w:rFonts w:hint="eastAsia" w:ascii="宋体" w:hAnsi="宋体" w:cs="宋体"/>
          <w:lang w:eastAsia="zh-TW"/>
        </w:rPr>
        <w:t>要求的部分内容和附件，或没有提供竞争性磋商文件中所要求的全部资料及数据，而给磋商造成困难的，其可能导致的结果和责任由响应供应商自行承担。</w:t>
      </w:r>
    </w:p>
    <w:p w14:paraId="47D34432">
      <w:pPr>
        <w:numPr>
          <w:ilvl w:val="0"/>
          <w:numId w:val="32"/>
        </w:numPr>
        <w:snapToGrid w:val="0"/>
        <w:spacing w:line="360" w:lineRule="auto"/>
        <w:ind w:left="358" w:hanging="358" w:hangingChars="170"/>
        <w:jc w:val="both"/>
        <w:outlineLvl w:val="2"/>
        <w:rPr>
          <w:rFonts w:ascii="宋体" w:hAnsi="宋体"/>
          <w:b/>
          <w:bCs/>
        </w:rPr>
      </w:pPr>
      <w:bookmarkStart w:id="171" w:name="_Toc410738947"/>
      <w:bookmarkStart w:id="172" w:name="_Toc410736147"/>
      <w:bookmarkStart w:id="173" w:name="_Toc416771334"/>
      <w:bookmarkStart w:id="174" w:name="_Toc416770224"/>
      <w:r>
        <w:rPr>
          <w:rFonts w:hint="eastAsia" w:ascii="宋体" w:hAnsi="宋体"/>
          <w:b/>
          <w:bCs/>
        </w:rPr>
        <w:t>磋商报价</w:t>
      </w:r>
      <w:bookmarkEnd w:id="171"/>
      <w:bookmarkEnd w:id="172"/>
      <w:bookmarkEnd w:id="173"/>
      <w:bookmarkEnd w:id="174"/>
    </w:p>
    <w:p w14:paraId="5834EDE3">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响应供应商应按照“第</w:t>
      </w:r>
      <w:r>
        <w:rPr>
          <w:rFonts w:hint="eastAsia" w:ascii="宋体" w:hAnsi="宋体" w:cs="宋体"/>
        </w:rPr>
        <w:t>四</w:t>
      </w:r>
      <w:r>
        <w:rPr>
          <w:rFonts w:hint="eastAsia" w:ascii="宋体" w:hAnsi="宋体" w:cs="宋体"/>
          <w:lang w:eastAsia="zh-TW"/>
        </w:rPr>
        <w:t>章　用户需求书”</w:t>
      </w:r>
      <w:r>
        <w:rPr>
          <w:rFonts w:hint="eastAsia" w:ascii="宋体" w:hAnsi="宋体" w:cs="宋体"/>
        </w:rPr>
        <w:t>中</w:t>
      </w:r>
      <w:r>
        <w:rPr>
          <w:rFonts w:hint="eastAsia" w:ascii="宋体" w:hAnsi="宋体" w:cs="宋体"/>
          <w:lang w:eastAsia="zh-TW"/>
        </w:rPr>
        <w:t>采购项目技术或服务要求规定的内容、责任范围进行报价。并按报价表的</w:t>
      </w:r>
      <w:r>
        <w:rPr>
          <w:rFonts w:hint="eastAsia" w:ascii="宋体" w:hAnsi="宋体" w:cs="宋体"/>
        </w:rPr>
        <w:t>要求</w:t>
      </w:r>
      <w:r>
        <w:rPr>
          <w:rFonts w:hint="eastAsia" w:ascii="宋体" w:hAnsi="宋体" w:cs="宋体"/>
          <w:lang w:eastAsia="zh-TW"/>
        </w:rPr>
        <w:t>报出价格。若</w:t>
      </w:r>
      <w:r>
        <w:rPr>
          <w:rFonts w:hint="eastAsia" w:ascii="宋体" w:hAnsi="宋体" w:cs="宋体"/>
        </w:rPr>
        <w:t>针对本项目工程</w:t>
      </w:r>
      <w:r>
        <w:rPr>
          <w:rFonts w:hint="eastAsia" w:ascii="宋体" w:hAnsi="宋体" w:cs="宋体"/>
          <w:lang w:eastAsia="zh-TW"/>
        </w:rPr>
        <w:t>报价有缺漏项的，缺漏项部分的价格视为已包含在报价中，</w:t>
      </w:r>
      <w:r>
        <w:rPr>
          <w:rFonts w:hint="eastAsia" w:ascii="宋体" w:hAnsi="宋体" w:cs="宋体"/>
        </w:rPr>
        <w:t>成交</w:t>
      </w:r>
      <w:r>
        <w:rPr>
          <w:rFonts w:hint="eastAsia" w:ascii="宋体" w:hAnsi="宋体" w:cs="宋体"/>
          <w:lang w:eastAsia="zh-TW"/>
        </w:rPr>
        <w:t>后不作任何调整</w:t>
      </w:r>
      <w:r>
        <w:rPr>
          <w:rFonts w:hint="eastAsia" w:ascii="宋体" w:hAnsi="宋体" w:cs="宋体"/>
        </w:rPr>
        <w:t>。成交供应商需按照磋商文件要求提供工程</w:t>
      </w:r>
      <w:r>
        <w:rPr>
          <w:rFonts w:hint="eastAsia" w:ascii="宋体" w:hAnsi="宋体" w:cs="宋体"/>
          <w:lang w:eastAsia="zh-TW"/>
        </w:rPr>
        <w:t>。</w:t>
      </w:r>
    </w:p>
    <w:p w14:paraId="48DF3C20">
      <w:pPr>
        <w:numPr>
          <w:ilvl w:val="1"/>
          <w:numId w:val="32"/>
        </w:numPr>
        <w:tabs>
          <w:tab w:val="left" w:pos="709"/>
          <w:tab w:val="clear" w:pos="360"/>
        </w:tabs>
        <w:snapToGrid w:val="0"/>
        <w:spacing w:line="360" w:lineRule="auto"/>
        <w:ind w:left="709" w:hanging="709"/>
        <w:rPr>
          <w:rFonts w:ascii="宋体" w:hAnsi="宋体" w:cs="宋体"/>
        </w:rPr>
      </w:pPr>
      <w:r>
        <w:rPr>
          <w:rFonts w:hint="eastAsia" w:ascii="宋体" w:hAnsi="宋体"/>
        </w:rPr>
        <w:t>除</w:t>
      </w:r>
      <w:r>
        <w:rPr>
          <w:rFonts w:hint="eastAsia" w:ascii="宋体" w:hAnsi="宋体"/>
          <w:b/>
        </w:rPr>
        <w:t>磋商资料表</w:t>
      </w:r>
      <w:r>
        <w:rPr>
          <w:rFonts w:hint="eastAsia" w:ascii="宋体" w:hAnsi="宋体"/>
        </w:rPr>
        <w:t>中另有规定，</w:t>
      </w:r>
      <w:r>
        <w:rPr>
          <w:rFonts w:hint="eastAsia" w:ascii="宋体" w:hAnsi="宋体" w:cs="宋体"/>
          <w:lang w:eastAsia="zh-TW"/>
        </w:rPr>
        <w:t>响应供应商所报的磋商价在合同执行过程中是固定不变的</w:t>
      </w:r>
      <w:r>
        <w:rPr>
          <w:rFonts w:hint="eastAsia" w:ascii="宋体" w:hAnsi="宋体" w:cs="宋体"/>
        </w:rPr>
        <w:t>，</w:t>
      </w:r>
      <w:r>
        <w:rPr>
          <w:rFonts w:hint="eastAsia" w:ascii="宋体" w:hAnsi="宋体" w:cs="宋体"/>
          <w:lang w:eastAsia="zh-TW"/>
        </w:rPr>
        <w:t>不得以任何理由予以变更。任何包含价格调整要求的磋商被认为是非实质性响应磋商而予以拒绝。</w:t>
      </w:r>
    </w:p>
    <w:p w14:paraId="0DF602C2">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除</w:t>
      </w:r>
      <w:r>
        <w:rPr>
          <w:rFonts w:hint="eastAsia" w:ascii="宋体" w:hAnsi="宋体"/>
          <w:b/>
        </w:rPr>
        <w:t>磋商资料表</w:t>
      </w:r>
      <w:r>
        <w:rPr>
          <w:rFonts w:hint="eastAsia" w:ascii="宋体" w:hAnsi="宋体"/>
        </w:rPr>
        <w:t>中允许有备选方案外，本次磋商不接受选择性报价，</w:t>
      </w:r>
      <w:r>
        <w:rPr>
          <w:rFonts w:hint="eastAsia" w:ascii="宋体" w:hAnsi="宋体" w:cs="宋体"/>
        </w:rPr>
        <w:t>否则将被视为无效报价。</w:t>
      </w:r>
    </w:p>
    <w:p w14:paraId="3571A086">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rPr>
        <w:t>除</w:t>
      </w:r>
      <w:r>
        <w:rPr>
          <w:rFonts w:hint="eastAsia" w:ascii="宋体" w:hAnsi="宋体" w:cs="宋体"/>
          <w:b/>
        </w:rPr>
        <w:t>磋商资料表</w:t>
      </w:r>
      <w:r>
        <w:rPr>
          <w:rFonts w:hint="eastAsia" w:ascii="宋体" w:hAnsi="宋体" w:cs="宋体"/>
        </w:rPr>
        <w:t>另有规定外，本次磋商不接受具有附加条件的报价，否则将被视为无效报价。</w:t>
      </w:r>
    </w:p>
    <w:p w14:paraId="79C13EB2">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ascii="宋体" w:hAnsi="宋体"/>
        </w:rPr>
        <w:t>磋商</w:t>
      </w:r>
      <w:r>
        <w:rPr>
          <w:rFonts w:hint="eastAsia" w:ascii="宋体" w:hAnsi="宋体" w:cs="宋体"/>
          <w:lang w:eastAsia="zh-TW"/>
        </w:rPr>
        <w:t>报价在工程项目建设期和保修期内，完成</w:t>
      </w:r>
      <w:r>
        <w:rPr>
          <w:rFonts w:hint="eastAsia" w:ascii="宋体" w:hAnsi="宋体" w:cs="宋体"/>
          <w:b/>
        </w:rPr>
        <w:t>磋商资料表</w:t>
      </w:r>
      <w:r>
        <w:rPr>
          <w:rFonts w:hint="eastAsia" w:ascii="宋体" w:hAnsi="宋体" w:cs="宋体"/>
          <w:lang w:eastAsia="zh-TW"/>
        </w:rPr>
        <w:t>中规定的工作内容的各项费用。</w:t>
      </w:r>
    </w:p>
    <w:p w14:paraId="4A397B2F">
      <w:pPr>
        <w:numPr>
          <w:ilvl w:val="1"/>
          <w:numId w:val="32"/>
        </w:numPr>
        <w:tabs>
          <w:tab w:val="left" w:pos="709"/>
          <w:tab w:val="clear" w:pos="360"/>
        </w:tabs>
        <w:snapToGrid w:val="0"/>
        <w:spacing w:line="360" w:lineRule="auto"/>
        <w:ind w:left="709" w:hanging="709"/>
        <w:rPr>
          <w:rFonts w:ascii="宋体" w:hAnsi="宋体" w:cs="宋体"/>
        </w:rPr>
      </w:pPr>
      <w:r>
        <w:rPr>
          <w:rFonts w:hint="eastAsia" w:ascii="宋体" w:hAnsi="宋体" w:cs="宋体"/>
        </w:rPr>
        <w:t>本项目将按照</w:t>
      </w:r>
      <w:r>
        <w:rPr>
          <w:rFonts w:hint="eastAsia" w:ascii="宋体" w:hAnsi="宋体" w:cs="宋体"/>
          <w:b/>
        </w:rPr>
        <w:t>磋商资料表</w:t>
      </w:r>
      <w:r>
        <w:rPr>
          <w:rFonts w:hint="eastAsia" w:ascii="宋体" w:hAnsi="宋体" w:cs="宋体"/>
        </w:rPr>
        <w:t>中确定的承包方式承接。</w:t>
      </w:r>
    </w:p>
    <w:p w14:paraId="5F631A57">
      <w:pPr>
        <w:numPr>
          <w:ilvl w:val="2"/>
          <w:numId w:val="32"/>
        </w:numPr>
        <w:snapToGrid w:val="0"/>
        <w:spacing w:line="360" w:lineRule="auto"/>
      </w:pPr>
      <w:r>
        <w:rPr>
          <w:rFonts w:hint="eastAsia"/>
        </w:rPr>
        <w:t>采用固定总价包干的，按成交确定的总价承包工程，以</w:t>
      </w:r>
      <w:r>
        <w:rPr>
          <w:rFonts w:hint="eastAsia" w:ascii="宋体" w:hAnsi="宋体" w:cs="宋体"/>
          <w:b/>
        </w:rPr>
        <w:t>磋商资料表</w:t>
      </w:r>
      <w:r>
        <w:rPr>
          <w:rFonts w:hint="eastAsia"/>
        </w:rPr>
        <w:t>中所述的内容为依据，明确承包内容和工程量，承包价固定不变。</w:t>
      </w:r>
    </w:p>
    <w:p w14:paraId="2A2E6DC4">
      <w:pPr>
        <w:numPr>
          <w:ilvl w:val="2"/>
          <w:numId w:val="32"/>
        </w:numPr>
        <w:snapToGrid w:val="0"/>
        <w:spacing w:line="360" w:lineRule="auto"/>
      </w:pPr>
      <w:r>
        <w:rPr>
          <w:rFonts w:hint="eastAsia"/>
        </w:rPr>
        <w:t>采用综合单价包干的，根据成交确定的综合单价，以</w:t>
      </w:r>
      <w:r>
        <w:rPr>
          <w:rFonts w:hint="eastAsia" w:ascii="宋体" w:hAnsi="宋体" w:cs="宋体"/>
          <w:b/>
        </w:rPr>
        <w:t>磋商资料表</w:t>
      </w:r>
      <w:r>
        <w:rPr>
          <w:rFonts w:hint="eastAsia"/>
        </w:rPr>
        <w:t>中所述的内容为依据，工程量按实结算。</w:t>
      </w:r>
    </w:p>
    <w:p w14:paraId="462E5EA4">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rPr>
        <w:t>响应供应商的工程量清单计价表按中华人民共和国国家标准《建设工程工程量清单计价规范》及广东省相关定额及清单规范执行。</w:t>
      </w:r>
    </w:p>
    <w:p w14:paraId="5298F5E6">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rPr>
        <w:t>其它费用的取费项目和取费标准由响应供应商自行测定。包括：项目实施用临时道路及临时场地、项目实施措施费、建设项目材料进场检验费、项目实施临时用水用电费用、项目保修、保险等。</w:t>
      </w:r>
    </w:p>
    <w:p w14:paraId="5BB01395">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磋商</w:t>
      </w:r>
      <w:r>
        <w:rPr>
          <w:rFonts w:hint="eastAsia" w:ascii="宋体" w:hAnsi="宋体" w:cs="宋体"/>
        </w:rPr>
        <w:t>总报价是分部分项工程费、措施项目费、其他项目费、规费和税金之和，包括但不限于完成工作的成本、利润、税金、技术措施费以及政策性文件规定的费用，不得以任何理由重复计算。如规费、暂列金额、绿色施工安全防护措施费等项目的单价或合价金额有特殊规定（详见</w:t>
      </w:r>
      <w:r>
        <w:rPr>
          <w:rFonts w:hint="eastAsia" w:ascii="宋体" w:hAnsi="宋体" w:cs="宋体"/>
          <w:b/>
        </w:rPr>
        <w:t>磋商资料表</w:t>
      </w:r>
      <w:r>
        <w:rPr>
          <w:rFonts w:hint="eastAsia" w:ascii="宋体" w:hAnsi="宋体" w:cs="宋体"/>
        </w:rPr>
        <w:t>）。工程量清单中的每一单项均需填写综合单价和合价，对没有填写单价和合价项目或投标报价漏项的费用视为已包括在工程量清单的其它单价和合价之中。</w:t>
      </w:r>
    </w:p>
    <w:p w14:paraId="6F1F370F">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rPr>
        <w:t>本项目不考虑项目至竣工验收为止期间物价上涨、政策性调整等由此引起的费用变动，以响应供应商的成交报价为准。</w:t>
      </w:r>
    </w:p>
    <w:p w14:paraId="2FE01ACA">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rPr>
        <w:t>项目进行过程中，成交供应商对外的交涉与纠纷，以及所造成的损失，除</w:t>
      </w:r>
      <w:r>
        <w:rPr>
          <w:rFonts w:hint="eastAsia" w:ascii="宋体" w:hAnsi="宋体"/>
        </w:rPr>
        <w:t>磋商</w:t>
      </w:r>
      <w:r>
        <w:rPr>
          <w:rFonts w:hint="eastAsia" w:ascii="宋体" w:hAnsi="宋体" w:cs="宋体"/>
        </w:rPr>
        <w:t>文件中有明确规定之外，均由成交供应商自行解决。如确需采购人进行协调时，协调解决问题所发生的一切费用仍由成交供应商承担。各专业项目施工队间相互配合协调的问题，由有关成交供应商协商解决，采购人不另行支付费用。</w:t>
      </w:r>
    </w:p>
    <w:p w14:paraId="4DB2C328">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rPr>
        <w:t>响应文件的总价或</w:t>
      </w:r>
      <w:r>
        <w:rPr>
          <w:rFonts w:hint="eastAsia" w:ascii="宋体" w:hAnsi="宋体"/>
        </w:rPr>
        <w:t>磋商</w:t>
      </w:r>
      <w:r>
        <w:rPr>
          <w:rFonts w:hint="eastAsia" w:ascii="宋体" w:hAnsi="宋体" w:cs="宋体"/>
        </w:rPr>
        <w:t>截止前响应供应商最后修正的工程量清单综合单价在成交后即为签订合同总价的唯一依据，采购双方均不得修改。</w:t>
      </w:r>
    </w:p>
    <w:p w14:paraId="75452116">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rPr>
        <w:t>成交供应商一旦中标，成交供应商对工程项目所报出的工程量综合单价，在结算时将不得变更，在施工过程中即使工程量清单项目的工程量发生增减，成交供应商的竞争性磋商文件列出的工程量综合单价及措施费也不发生改变。</w:t>
      </w:r>
    </w:p>
    <w:p w14:paraId="6D99EEF0">
      <w:pPr>
        <w:numPr>
          <w:ilvl w:val="0"/>
          <w:numId w:val="32"/>
        </w:numPr>
        <w:snapToGrid w:val="0"/>
        <w:spacing w:line="360" w:lineRule="auto"/>
        <w:ind w:left="358" w:hanging="358" w:hangingChars="170"/>
        <w:jc w:val="both"/>
        <w:outlineLvl w:val="2"/>
        <w:rPr>
          <w:rFonts w:ascii="宋体" w:hAnsi="宋体"/>
          <w:b/>
          <w:bCs/>
        </w:rPr>
      </w:pPr>
      <w:bookmarkStart w:id="175" w:name="_Toc410736148"/>
      <w:bookmarkStart w:id="176" w:name="_Toc410738948"/>
      <w:bookmarkStart w:id="177" w:name="_Toc416770225"/>
      <w:bookmarkStart w:id="178" w:name="_Toc416771335"/>
      <w:r>
        <w:rPr>
          <w:rFonts w:hint="eastAsia" w:ascii="宋体" w:hAnsi="宋体"/>
          <w:b/>
          <w:bCs/>
        </w:rPr>
        <w:t>投标货币</w:t>
      </w:r>
      <w:bookmarkEnd w:id="175"/>
      <w:bookmarkEnd w:id="176"/>
      <w:bookmarkEnd w:id="177"/>
      <w:bookmarkEnd w:id="178"/>
    </w:p>
    <w:p w14:paraId="2EF102C4">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 xml:space="preserve">响应供应商所提供的工程均应以人民币报价。 </w:t>
      </w:r>
    </w:p>
    <w:p w14:paraId="5F546D82">
      <w:pPr>
        <w:numPr>
          <w:ilvl w:val="0"/>
          <w:numId w:val="32"/>
        </w:numPr>
        <w:snapToGrid w:val="0"/>
        <w:spacing w:line="360" w:lineRule="auto"/>
        <w:ind w:left="358" w:hanging="358" w:hangingChars="170"/>
        <w:jc w:val="both"/>
        <w:outlineLvl w:val="2"/>
        <w:rPr>
          <w:rFonts w:ascii="宋体" w:hAnsi="宋体"/>
          <w:b/>
          <w:bCs/>
        </w:rPr>
      </w:pPr>
      <w:bookmarkStart w:id="179" w:name="_Toc416770226"/>
      <w:bookmarkStart w:id="180" w:name="_Toc416771336"/>
      <w:r>
        <w:rPr>
          <w:rFonts w:hint="eastAsia" w:ascii="宋体" w:hAnsi="宋体"/>
          <w:b/>
          <w:bCs/>
        </w:rPr>
        <w:t>联合体投标</w:t>
      </w:r>
      <w:bookmarkEnd w:id="179"/>
      <w:bookmarkEnd w:id="180"/>
    </w:p>
    <w:p w14:paraId="2A52B360">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除非</w:t>
      </w:r>
      <w:r>
        <w:rPr>
          <w:rFonts w:hint="eastAsia" w:ascii="宋体" w:hAnsi="宋体"/>
          <w:b/>
        </w:rPr>
        <w:t>磋商邀请</w:t>
      </w:r>
      <w:r>
        <w:rPr>
          <w:rFonts w:hint="eastAsia" w:ascii="宋体" w:hAnsi="宋体"/>
        </w:rPr>
        <w:t>中另有规定，不接受联合体投标。如果磋商邀请中规定允许联合体投标的，则必须满足：</w:t>
      </w:r>
    </w:p>
    <w:p w14:paraId="241F62F0">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以联合体形式参加投标的，联合体各方均必须符合</w:t>
      </w:r>
      <w:r>
        <w:rPr>
          <w:rFonts w:hint="eastAsia" w:ascii="宋体" w:hAnsi="宋体"/>
          <w:bCs/>
          <w:szCs w:val="20"/>
        </w:rPr>
        <w:t>《中华人民共和国政府采购法》第二十二条第（一）至（六）项规定，对“合格的响应供应商”的特殊条款要求至少有一方符合</w:t>
      </w:r>
      <w:r>
        <w:rPr>
          <w:rFonts w:hint="eastAsia" w:ascii="宋体" w:hAnsi="宋体"/>
        </w:rPr>
        <w:t>；</w:t>
      </w:r>
    </w:p>
    <w:p w14:paraId="2DCADC24">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以联合体形式参加政府采购活动的，联合体各方不得再单独参加或者与其他供应商另外组成联合体参加同一合同项下的政府采购活动。</w:t>
      </w:r>
    </w:p>
    <w:p w14:paraId="09DD5A7B">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联合体投标的，</w:t>
      </w:r>
      <w:r>
        <w:rPr>
          <w:rFonts w:hint="eastAsia" w:ascii="宋体" w:hAnsi="宋体" w:cs="宋体"/>
          <w:lang w:eastAsia="zh-TW"/>
        </w:rPr>
        <w:t>必须提供各方签订的共同联合体协议</w:t>
      </w:r>
      <w:r>
        <w:rPr>
          <w:rFonts w:hint="eastAsia" w:ascii="宋体" w:hAnsi="宋体"/>
        </w:rPr>
        <w:t>，明确约定各方承担的工作和相应的责任。联合体各方签订共同联合体协议后，不得再以自己名义单独在同一项目（或包组）中磋商，也不得组成新的联合体参加同一项目（或包组）磋商；</w:t>
      </w:r>
    </w:p>
    <w:p w14:paraId="06C169C6">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联合体中有同类资质的响应供应商按照联合体分工承担相同工作的，应当按照资质等级较低的响应供应商确定资质等级。</w:t>
      </w:r>
    </w:p>
    <w:p w14:paraId="7B8BC7A6">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联合体投标的，可以由联合体中的一方或者共同提交磋商保证金，以一方名义提交磋商保证金的，对联合体各方均具有约束力。</w:t>
      </w:r>
    </w:p>
    <w:p w14:paraId="7A2AB808">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联合体成交的，联合体各方应当共同与采购人签订合同。</w:t>
      </w:r>
    </w:p>
    <w:p w14:paraId="78D0A0CD">
      <w:pPr>
        <w:numPr>
          <w:ilvl w:val="0"/>
          <w:numId w:val="32"/>
        </w:numPr>
        <w:snapToGrid w:val="0"/>
        <w:spacing w:line="360" w:lineRule="auto"/>
        <w:ind w:left="358" w:hanging="358" w:hangingChars="170"/>
        <w:jc w:val="both"/>
        <w:outlineLvl w:val="2"/>
        <w:rPr>
          <w:rFonts w:ascii="宋体" w:hAnsi="宋体"/>
          <w:b/>
          <w:bCs/>
        </w:rPr>
      </w:pPr>
      <w:bookmarkStart w:id="181" w:name="_Toc416770227"/>
      <w:bookmarkStart w:id="182" w:name="_Toc410738950"/>
      <w:bookmarkStart w:id="183" w:name="_Toc410736150"/>
      <w:bookmarkStart w:id="184" w:name="_Toc416771337"/>
      <w:r>
        <w:rPr>
          <w:rFonts w:hint="eastAsia" w:ascii="宋体" w:hAnsi="宋体"/>
          <w:b/>
          <w:bCs/>
        </w:rPr>
        <w:t>证明响应供应商合格和资格的文件</w:t>
      </w:r>
      <w:bookmarkEnd w:id="181"/>
      <w:bookmarkEnd w:id="182"/>
      <w:bookmarkEnd w:id="183"/>
      <w:bookmarkEnd w:id="184"/>
    </w:p>
    <w:p w14:paraId="347BF49E">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响应供应商应提交证明其有资格参加磋商和成交后有能力履行合同的文件</w:t>
      </w:r>
      <w:r>
        <w:rPr>
          <w:rFonts w:hint="eastAsia" w:ascii="宋体" w:hAnsi="宋体" w:cs="宋体"/>
        </w:rPr>
        <w:t>，</w:t>
      </w:r>
      <w:r>
        <w:rPr>
          <w:rFonts w:hint="eastAsia" w:ascii="宋体" w:hAnsi="宋体" w:cs="宋体"/>
          <w:lang w:eastAsia="zh-TW"/>
        </w:rPr>
        <w:t>并作为其响应文件的一部分。如果响应供应商为联合体</w:t>
      </w:r>
      <w:r>
        <w:rPr>
          <w:rFonts w:hint="eastAsia" w:ascii="宋体" w:hAnsi="宋体" w:cs="宋体"/>
        </w:rPr>
        <w:t>，</w:t>
      </w:r>
      <w:r>
        <w:rPr>
          <w:rFonts w:hint="eastAsia" w:ascii="宋体" w:hAnsi="宋体" w:cs="宋体"/>
          <w:lang w:eastAsia="zh-TW"/>
        </w:rPr>
        <w:t>应提交联合体各方的资格证明文件、</w:t>
      </w:r>
      <w:r>
        <w:rPr>
          <w:rFonts w:hint="eastAsia" w:ascii="宋体" w:hAnsi="宋体" w:cs="宋体"/>
        </w:rPr>
        <w:t>共同联合体协议</w:t>
      </w:r>
      <w:r>
        <w:rPr>
          <w:rFonts w:hint="eastAsia" w:ascii="宋体" w:hAnsi="宋体" w:cs="宋体"/>
          <w:lang w:eastAsia="zh-TW"/>
        </w:rPr>
        <w:t>并注明主体方</w:t>
      </w:r>
      <w:r>
        <w:rPr>
          <w:rFonts w:hint="eastAsia" w:ascii="宋体" w:hAnsi="宋体" w:cs="宋体"/>
        </w:rPr>
        <w:t>及各方拟承担的工作和责任。</w:t>
      </w:r>
      <w:r>
        <w:rPr>
          <w:rFonts w:hint="eastAsia" w:ascii="宋体" w:hAnsi="宋体" w:cs="宋体"/>
          <w:lang w:eastAsia="zh-TW"/>
        </w:rPr>
        <w:t>否则</w:t>
      </w:r>
      <w:r>
        <w:rPr>
          <w:rFonts w:hint="eastAsia" w:ascii="宋体" w:hAnsi="宋体" w:cs="宋体"/>
        </w:rPr>
        <w:t>，</w:t>
      </w:r>
      <w:r>
        <w:rPr>
          <w:rFonts w:hint="eastAsia" w:ascii="宋体" w:hAnsi="宋体" w:cs="宋体"/>
          <w:lang w:eastAsia="zh-TW"/>
        </w:rPr>
        <w:t>将导致其磋商</w:t>
      </w:r>
      <w:r>
        <w:rPr>
          <w:rFonts w:hint="eastAsia" w:ascii="宋体" w:hAnsi="宋体" w:cs="宋体"/>
        </w:rPr>
        <w:t>报价无效。</w:t>
      </w:r>
    </w:p>
    <w:p w14:paraId="450D2086">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响应供应商提交的资格证明文件应证明其满足本须知</w:t>
      </w:r>
      <w:r>
        <w:rPr>
          <w:rFonts w:hint="eastAsia" w:ascii="宋体" w:hAnsi="宋体" w:cs="宋体"/>
          <w:lang w:eastAsia="zh-TW"/>
        </w:rPr>
        <w:t>定义的合格</w:t>
      </w:r>
      <w:r>
        <w:rPr>
          <w:rFonts w:hint="eastAsia" w:ascii="宋体" w:hAnsi="宋体" w:cs="宋体"/>
        </w:rPr>
        <w:t>响应供应商</w:t>
      </w:r>
      <w:r>
        <w:rPr>
          <w:rFonts w:hint="eastAsia" w:ascii="宋体" w:hAnsi="宋体" w:cs="宋体"/>
          <w:lang w:eastAsia="zh-TW"/>
        </w:rPr>
        <w:t>。</w:t>
      </w:r>
    </w:p>
    <w:p w14:paraId="79B463E0">
      <w:pPr>
        <w:numPr>
          <w:ilvl w:val="0"/>
          <w:numId w:val="32"/>
        </w:numPr>
        <w:snapToGrid w:val="0"/>
        <w:spacing w:line="360" w:lineRule="auto"/>
        <w:ind w:left="358" w:hanging="358" w:hangingChars="170"/>
        <w:jc w:val="both"/>
        <w:outlineLvl w:val="2"/>
        <w:rPr>
          <w:rFonts w:ascii="宋体" w:hAnsi="宋体"/>
          <w:b/>
          <w:bCs/>
        </w:rPr>
      </w:pPr>
      <w:bookmarkStart w:id="185" w:name="_Toc416771339"/>
      <w:bookmarkStart w:id="186" w:name="_Toc416770229"/>
      <w:r>
        <w:rPr>
          <w:rFonts w:hint="eastAsia" w:ascii="宋体" w:hAnsi="宋体"/>
          <w:b/>
          <w:bCs/>
        </w:rPr>
        <w:t>磋商保证金</w:t>
      </w:r>
      <w:bookmarkEnd w:id="185"/>
      <w:bookmarkEnd w:id="186"/>
    </w:p>
    <w:p w14:paraId="2107B37B">
      <w:pPr>
        <w:numPr>
          <w:ilvl w:val="1"/>
          <w:numId w:val="32"/>
        </w:numPr>
        <w:tabs>
          <w:tab w:val="left" w:pos="709"/>
          <w:tab w:val="clear" w:pos="360"/>
        </w:tabs>
        <w:snapToGrid w:val="0"/>
        <w:spacing w:line="360" w:lineRule="auto"/>
        <w:ind w:left="709" w:hanging="709"/>
        <w:jc w:val="both"/>
        <w:rPr>
          <w:rFonts w:ascii="宋体" w:hAnsi="宋体"/>
          <w:lang w:eastAsia="zh-TW"/>
        </w:rPr>
      </w:pPr>
      <w:r>
        <w:rPr>
          <w:rFonts w:hint="eastAsia" w:ascii="宋体" w:hAnsi="宋体"/>
        </w:rPr>
        <w:t>响应供应商应按</w:t>
      </w:r>
      <w:r>
        <w:rPr>
          <w:rFonts w:hint="eastAsia" w:ascii="宋体" w:hAnsi="宋体"/>
          <w:b/>
        </w:rPr>
        <w:t>磋商资料表</w:t>
      </w:r>
      <w:r>
        <w:rPr>
          <w:rFonts w:hint="eastAsia" w:ascii="宋体" w:hAnsi="宋体"/>
        </w:rPr>
        <w:t>中规定</w:t>
      </w:r>
      <w:r>
        <w:rPr>
          <w:rFonts w:hint="eastAsia" w:ascii="宋体" w:hAnsi="宋体" w:cs="宋体"/>
        </w:rPr>
        <w:t>缴纳</w:t>
      </w:r>
      <w:r>
        <w:rPr>
          <w:rFonts w:hint="eastAsia" w:ascii="宋体" w:hAnsi="宋体"/>
        </w:rPr>
        <w:t>磋商保证金</w:t>
      </w:r>
      <w:r>
        <w:rPr>
          <w:rFonts w:hint="eastAsia" w:ascii="宋体" w:hAnsi="宋体" w:cs="宋体"/>
        </w:rPr>
        <w:t>，</w:t>
      </w:r>
      <w:r>
        <w:rPr>
          <w:rFonts w:hint="eastAsia" w:ascii="宋体" w:hAnsi="宋体" w:cs="宋体"/>
          <w:lang w:eastAsia="zh-TW"/>
        </w:rPr>
        <w:t>并作为其</w:t>
      </w:r>
      <w:r>
        <w:rPr>
          <w:rFonts w:hint="eastAsia" w:ascii="宋体" w:hAnsi="宋体" w:cs="宋体"/>
        </w:rPr>
        <w:t>响应文件的组成</w:t>
      </w:r>
      <w:r>
        <w:rPr>
          <w:rFonts w:hint="eastAsia" w:ascii="宋体" w:hAnsi="宋体" w:cs="宋体"/>
          <w:lang w:eastAsia="zh-TW"/>
        </w:rPr>
        <w:t>部分。</w:t>
      </w:r>
    </w:p>
    <w:p w14:paraId="67BE3A95">
      <w:pPr>
        <w:numPr>
          <w:ilvl w:val="1"/>
          <w:numId w:val="32"/>
        </w:numPr>
        <w:tabs>
          <w:tab w:val="left" w:pos="709"/>
        </w:tabs>
        <w:snapToGrid w:val="0"/>
        <w:spacing w:line="360" w:lineRule="auto"/>
        <w:ind w:left="709" w:hanging="709"/>
        <w:jc w:val="both"/>
        <w:rPr>
          <w:rFonts w:ascii="宋体" w:hAnsi="宋体"/>
        </w:rPr>
      </w:pPr>
      <w:r>
        <w:rPr>
          <w:rFonts w:hint="eastAsia" w:ascii="宋体" w:hAnsi="宋体"/>
        </w:rPr>
        <w:t>如无质疑或投诉</w:t>
      </w:r>
      <w:r>
        <w:rPr>
          <w:rFonts w:hint="eastAsia" w:ascii="宋体" w:hAnsi="宋体" w:cs="宋体"/>
          <w:lang w:eastAsia="zh-TW"/>
        </w:rPr>
        <w:t>，未成交的响应供应商保证金，在成交通知书发出后五个工作日内不计利息原额退还；如有质疑或投诉，采购人将在质疑和投诉处理完毕后不计利息原额退还</w:t>
      </w:r>
      <w:r>
        <w:rPr>
          <w:rFonts w:hint="eastAsia" w:ascii="宋体" w:hAnsi="宋体" w:cs="宋体"/>
        </w:rPr>
        <w:t>，因供应商自身原因导致无法及时退还的除外</w:t>
      </w:r>
      <w:r>
        <w:rPr>
          <w:rFonts w:hint="eastAsia" w:ascii="宋体" w:hAnsi="宋体" w:cs="宋体"/>
          <w:lang w:eastAsia="zh-TW"/>
        </w:rPr>
        <w:t>。</w:t>
      </w:r>
    </w:p>
    <w:p w14:paraId="31F6DDD2">
      <w:pPr>
        <w:numPr>
          <w:ilvl w:val="1"/>
          <w:numId w:val="32"/>
        </w:numPr>
        <w:tabs>
          <w:tab w:val="left" w:pos="709"/>
          <w:tab w:val="clear" w:pos="360"/>
        </w:tabs>
        <w:snapToGrid w:val="0"/>
        <w:spacing w:line="360" w:lineRule="auto"/>
        <w:ind w:left="709" w:hanging="709"/>
        <w:jc w:val="both"/>
        <w:rPr>
          <w:rFonts w:ascii="宋体" w:hAnsi="宋体" w:cs="宋体"/>
        </w:rPr>
      </w:pPr>
      <w:r>
        <w:rPr>
          <w:rFonts w:hint="eastAsia" w:ascii="宋体" w:hAnsi="宋体"/>
        </w:rPr>
        <w:t>成交供应商的磋商保证金</w:t>
      </w:r>
      <w:r>
        <w:rPr>
          <w:rFonts w:hint="eastAsia" w:ascii="宋体" w:hAnsi="宋体" w:cs="宋体"/>
        </w:rPr>
        <w:t>，</w:t>
      </w:r>
      <w:r>
        <w:rPr>
          <w:rFonts w:hint="eastAsia" w:ascii="宋体" w:hAnsi="宋体" w:cs="宋体"/>
          <w:lang w:eastAsia="zh-TW"/>
        </w:rPr>
        <w:t>在成交供应商与采购人签订采购合同后五个工作日内不计利息原额退还</w:t>
      </w:r>
      <w:r>
        <w:rPr>
          <w:rFonts w:hint="eastAsia" w:ascii="宋体" w:hAnsi="宋体" w:cs="宋体"/>
        </w:rPr>
        <w:t>，因供应商自身原因导致无法及时退还的除外</w:t>
      </w:r>
      <w:r>
        <w:rPr>
          <w:rFonts w:hint="eastAsia" w:ascii="宋体" w:hAnsi="宋体" w:cs="宋体"/>
          <w:lang w:eastAsia="zh-TW"/>
        </w:rPr>
        <w:t>。</w:t>
      </w:r>
    </w:p>
    <w:p w14:paraId="30B3F1A1">
      <w:pPr>
        <w:numPr>
          <w:ilvl w:val="1"/>
          <w:numId w:val="32"/>
        </w:numPr>
        <w:tabs>
          <w:tab w:val="left" w:pos="709"/>
        </w:tabs>
        <w:snapToGrid w:val="0"/>
        <w:spacing w:line="360" w:lineRule="auto"/>
        <w:rPr>
          <w:rFonts w:ascii="宋体" w:hAnsi="宋体"/>
        </w:rPr>
      </w:pPr>
      <w:r>
        <w:rPr>
          <w:rFonts w:hint="eastAsia" w:ascii="宋体" w:hAnsi="宋体"/>
        </w:rPr>
        <w:t>有下列情形之一的，磋商保证金不予退还：</w:t>
      </w:r>
    </w:p>
    <w:p w14:paraId="0697F319">
      <w:pPr>
        <w:numPr>
          <w:ilvl w:val="2"/>
          <w:numId w:val="32"/>
        </w:numPr>
        <w:tabs>
          <w:tab w:val="left" w:pos="851"/>
        </w:tabs>
        <w:snapToGrid w:val="0"/>
        <w:spacing w:line="360" w:lineRule="auto"/>
        <w:rPr>
          <w:rFonts w:ascii="宋体" w:hAnsi="宋体"/>
        </w:rPr>
      </w:pPr>
      <w:r>
        <w:rPr>
          <w:rFonts w:hint="eastAsia" w:ascii="宋体" w:hAnsi="宋体"/>
        </w:rPr>
        <w:t>供应商在提交响应文件截止时间后撤回响应文件的；</w:t>
      </w:r>
    </w:p>
    <w:p w14:paraId="0DF355BE">
      <w:pPr>
        <w:numPr>
          <w:ilvl w:val="2"/>
          <w:numId w:val="32"/>
        </w:numPr>
        <w:tabs>
          <w:tab w:val="left" w:pos="851"/>
        </w:tabs>
        <w:snapToGrid w:val="0"/>
        <w:spacing w:line="360" w:lineRule="auto"/>
        <w:rPr>
          <w:rFonts w:ascii="宋体" w:hAnsi="宋体"/>
        </w:rPr>
      </w:pPr>
      <w:r>
        <w:rPr>
          <w:rFonts w:hint="eastAsia" w:ascii="宋体" w:hAnsi="宋体"/>
        </w:rPr>
        <w:t>供应商在响应文件中提供虚假材料的；</w:t>
      </w:r>
    </w:p>
    <w:p w14:paraId="60746A8C">
      <w:pPr>
        <w:numPr>
          <w:ilvl w:val="2"/>
          <w:numId w:val="32"/>
        </w:numPr>
        <w:tabs>
          <w:tab w:val="left" w:pos="851"/>
        </w:tabs>
        <w:snapToGrid w:val="0"/>
        <w:spacing w:line="360" w:lineRule="auto"/>
        <w:rPr>
          <w:rFonts w:ascii="宋体" w:hAnsi="宋体"/>
        </w:rPr>
      </w:pPr>
      <w:r>
        <w:rPr>
          <w:rFonts w:hint="eastAsia" w:ascii="宋体" w:hAnsi="宋体"/>
        </w:rPr>
        <w:t>除因不可抗力或竞争性磋商文件认可的情形以外，成交供应商不与采购人签订合同的；</w:t>
      </w:r>
    </w:p>
    <w:p w14:paraId="5F131C6D">
      <w:pPr>
        <w:numPr>
          <w:ilvl w:val="2"/>
          <w:numId w:val="32"/>
        </w:numPr>
        <w:tabs>
          <w:tab w:val="left" w:pos="851"/>
        </w:tabs>
        <w:snapToGrid w:val="0"/>
        <w:spacing w:line="360" w:lineRule="auto"/>
        <w:rPr>
          <w:rFonts w:ascii="宋体" w:hAnsi="宋体"/>
        </w:rPr>
      </w:pPr>
      <w:r>
        <w:rPr>
          <w:rFonts w:hint="eastAsia" w:ascii="宋体" w:hAnsi="宋体"/>
        </w:rPr>
        <w:t>供应商与采购人、其他供应商或者采购代理机构恶意串通的；</w:t>
      </w:r>
    </w:p>
    <w:p w14:paraId="6FE34F96">
      <w:pPr>
        <w:numPr>
          <w:ilvl w:val="2"/>
          <w:numId w:val="32"/>
        </w:numPr>
        <w:tabs>
          <w:tab w:val="left" w:pos="851"/>
        </w:tabs>
        <w:snapToGrid w:val="0"/>
        <w:spacing w:line="360" w:lineRule="auto"/>
        <w:jc w:val="both"/>
        <w:rPr>
          <w:rFonts w:ascii="宋体" w:hAnsi="宋体" w:cs="宋体"/>
          <w:lang w:eastAsia="zh-TW"/>
        </w:rPr>
      </w:pPr>
      <w:r>
        <w:rPr>
          <w:rFonts w:hint="eastAsia" w:ascii="宋体" w:hAnsi="宋体" w:cs="宋体"/>
        </w:rPr>
        <w:t>依法被认定成交无效的；</w:t>
      </w:r>
    </w:p>
    <w:p w14:paraId="2D5A2030">
      <w:pPr>
        <w:numPr>
          <w:ilvl w:val="2"/>
          <w:numId w:val="32"/>
        </w:numPr>
        <w:tabs>
          <w:tab w:val="left" w:pos="851"/>
        </w:tabs>
        <w:snapToGrid w:val="0"/>
        <w:spacing w:line="360" w:lineRule="auto"/>
        <w:jc w:val="both"/>
        <w:rPr>
          <w:rFonts w:ascii="宋体" w:hAnsi="宋体" w:cs="宋体"/>
        </w:rPr>
      </w:pPr>
      <w:r>
        <w:rPr>
          <w:rFonts w:hint="eastAsia" w:ascii="宋体" w:hAnsi="宋体"/>
        </w:rPr>
        <w:t>竞争性磋商文件规定的其他情形。</w:t>
      </w:r>
    </w:p>
    <w:p w14:paraId="5B80E906">
      <w:pPr>
        <w:numPr>
          <w:ilvl w:val="0"/>
          <w:numId w:val="32"/>
        </w:numPr>
        <w:snapToGrid w:val="0"/>
        <w:spacing w:line="360" w:lineRule="auto"/>
        <w:ind w:left="358" w:hanging="358" w:hangingChars="170"/>
        <w:jc w:val="both"/>
        <w:outlineLvl w:val="2"/>
        <w:rPr>
          <w:rFonts w:ascii="宋体" w:hAnsi="宋体"/>
          <w:b/>
          <w:bCs/>
        </w:rPr>
      </w:pPr>
      <w:bookmarkStart w:id="187" w:name="_Toc410736153"/>
      <w:bookmarkStart w:id="188" w:name="_Toc416770230"/>
      <w:bookmarkStart w:id="189" w:name="_Toc410738953"/>
      <w:bookmarkStart w:id="190" w:name="_Toc416771340"/>
      <w:r>
        <w:rPr>
          <w:rFonts w:hint="eastAsia" w:ascii="宋体" w:hAnsi="宋体"/>
          <w:b/>
          <w:bCs/>
        </w:rPr>
        <w:t>磋商有效期</w:t>
      </w:r>
      <w:bookmarkEnd w:id="187"/>
      <w:bookmarkEnd w:id="188"/>
      <w:bookmarkEnd w:id="189"/>
      <w:bookmarkEnd w:id="190"/>
    </w:p>
    <w:p w14:paraId="79307FBE">
      <w:pPr>
        <w:numPr>
          <w:ilvl w:val="1"/>
          <w:numId w:val="32"/>
        </w:numPr>
        <w:tabs>
          <w:tab w:val="left" w:pos="709"/>
          <w:tab w:val="clear" w:pos="360"/>
        </w:tabs>
        <w:snapToGrid w:val="0"/>
        <w:spacing w:line="360" w:lineRule="auto"/>
        <w:ind w:left="709" w:hanging="709"/>
        <w:rPr>
          <w:rFonts w:ascii="宋体" w:hAnsi="宋体" w:cs="宋体"/>
        </w:rPr>
      </w:pPr>
      <w:r>
        <w:rPr>
          <w:rFonts w:hint="eastAsia" w:ascii="宋体" w:hAnsi="宋体"/>
        </w:rPr>
        <w:t>磋商应自</w:t>
      </w:r>
      <w:r>
        <w:rPr>
          <w:rFonts w:hint="eastAsia" w:ascii="宋体" w:hAnsi="宋体"/>
          <w:b/>
        </w:rPr>
        <w:t>磋商资料表</w:t>
      </w:r>
      <w:r>
        <w:rPr>
          <w:rFonts w:hint="eastAsia" w:ascii="宋体" w:hAnsi="宋体"/>
        </w:rPr>
        <w:t>中规定的响应文件递交截止时间起</w:t>
      </w:r>
      <w:r>
        <w:rPr>
          <w:rFonts w:hint="eastAsia" w:ascii="宋体" w:hAnsi="宋体" w:cs="宋体"/>
        </w:rPr>
        <w:t>，</w:t>
      </w:r>
      <w:r>
        <w:rPr>
          <w:rFonts w:hint="eastAsia" w:ascii="宋体" w:hAnsi="宋体" w:cs="宋体"/>
          <w:lang w:eastAsia="zh-TW"/>
        </w:rPr>
        <w:t>并在</w:t>
      </w:r>
      <w:r>
        <w:rPr>
          <w:rFonts w:hint="eastAsia" w:ascii="宋体" w:hAnsi="宋体" w:cs="宋体"/>
          <w:b/>
          <w:lang w:eastAsia="zh-TW"/>
        </w:rPr>
        <w:t>磋商资料表</w:t>
      </w:r>
      <w:r>
        <w:rPr>
          <w:rFonts w:hint="eastAsia" w:ascii="宋体" w:hAnsi="宋体" w:cs="宋体"/>
          <w:lang w:eastAsia="zh-TW"/>
        </w:rPr>
        <w:t>中所述期限内保持有效。磋商有效期不足的磋商将被视为非实质性响应</w:t>
      </w:r>
      <w:r>
        <w:rPr>
          <w:rFonts w:hint="eastAsia" w:ascii="宋体" w:hAnsi="宋体"/>
        </w:rPr>
        <w:t>，</w:t>
      </w:r>
      <w:r>
        <w:rPr>
          <w:rFonts w:hint="eastAsia" w:ascii="宋体" w:hAnsi="宋体" w:cs="宋体"/>
        </w:rPr>
        <w:t>视为无效响应</w:t>
      </w:r>
      <w:r>
        <w:rPr>
          <w:rFonts w:hint="eastAsia" w:ascii="宋体" w:hAnsi="宋体" w:cs="宋体"/>
          <w:lang w:eastAsia="zh-TW"/>
        </w:rPr>
        <w:t>。</w:t>
      </w:r>
    </w:p>
    <w:p w14:paraId="58B9AC9E">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特殊情况下</w:t>
      </w:r>
      <w:r>
        <w:rPr>
          <w:rFonts w:hint="eastAsia" w:ascii="宋体" w:hAnsi="宋体" w:cs="宋体"/>
        </w:rPr>
        <w:t>，</w:t>
      </w:r>
      <w:r>
        <w:rPr>
          <w:rFonts w:hint="eastAsia" w:ascii="宋体" w:hAnsi="宋体"/>
        </w:rPr>
        <w:t>在原磋商有效期截止之前</w:t>
      </w:r>
      <w:r>
        <w:rPr>
          <w:rFonts w:hint="eastAsia" w:ascii="宋体" w:hAnsi="宋体" w:cs="宋体"/>
        </w:rPr>
        <w:t>，</w:t>
      </w:r>
      <w:r>
        <w:rPr>
          <w:rFonts w:hint="eastAsia" w:ascii="宋体" w:hAnsi="宋体" w:cs="宋体"/>
          <w:lang w:eastAsia="zh-TW"/>
        </w:rPr>
        <w:t>采购代理机构可要求响应供应商延长磋商有效期。这种要求与答复均应以书面形式提交。响应供应商可拒绝采购代理机构的这种要求</w:t>
      </w:r>
      <w:r>
        <w:rPr>
          <w:rFonts w:hint="eastAsia" w:ascii="宋体" w:hAnsi="宋体" w:cs="宋体"/>
        </w:rPr>
        <w:t>，</w:t>
      </w:r>
      <w:r>
        <w:rPr>
          <w:rFonts w:hint="eastAsia" w:ascii="宋体" w:hAnsi="宋体" w:cs="宋体"/>
          <w:lang w:eastAsia="zh-TW"/>
        </w:rPr>
        <w:t>其</w:t>
      </w:r>
      <w:r>
        <w:rPr>
          <w:rFonts w:hint="eastAsia" w:ascii="宋体" w:hAnsi="宋体"/>
        </w:rPr>
        <w:t>磋商保证金</w:t>
      </w:r>
      <w:r>
        <w:rPr>
          <w:rFonts w:hint="eastAsia" w:ascii="宋体" w:hAnsi="宋体" w:cs="宋体"/>
          <w:lang w:eastAsia="zh-TW"/>
        </w:rPr>
        <w:t>将</w:t>
      </w:r>
      <w:r>
        <w:rPr>
          <w:rFonts w:hint="eastAsia" w:ascii="宋体" w:hAnsi="宋体" w:cs="宋体"/>
        </w:rPr>
        <w:t>予以退还，</w:t>
      </w:r>
      <w:r>
        <w:rPr>
          <w:rFonts w:hint="eastAsia" w:ascii="宋体" w:hAnsi="宋体" w:cs="宋体"/>
          <w:lang w:eastAsia="zh-TW"/>
        </w:rPr>
        <w:t>但其磋商在原磋商有效期期满后将不再有效。同意延长磋商有效期的响应供应商将不会被要求和允许修正其磋商</w:t>
      </w:r>
      <w:r>
        <w:rPr>
          <w:rFonts w:hint="eastAsia" w:ascii="宋体" w:hAnsi="宋体" w:cs="宋体"/>
        </w:rPr>
        <w:t>，</w:t>
      </w:r>
      <w:r>
        <w:rPr>
          <w:rFonts w:hint="eastAsia" w:ascii="宋体" w:hAnsi="宋体" w:cs="宋体"/>
          <w:lang w:eastAsia="zh-TW"/>
        </w:rPr>
        <w:t>而只会被要求相应地延长其</w:t>
      </w:r>
      <w:r>
        <w:rPr>
          <w:rFonts w:hint="eastAsia" w:ascii="宋体" w:hAnsi="宋体"/>
        </w:rPr>
        <w:t>磋商保证金</w:t>
      </w:r>
      <w:r>
        <w:rPr>
          <w:rFonts w:hint="eastAsia" w:ascii="宋体" w:hAnsi="宋体" w:cs="宋体"/>
          <w:lang w:eastAsia="zh-TW"/>
        </w:rPr>
        <w:t>的有效期。在这种情况下</w:t>
      </w:r>
      <w:r>
        <w:rPr>
          <w:rFonts w:hint="eastAsia" w:ascii="宋体" w:hAnsi="宋体" w:cs="宋体"/>
        </w:rPr>
        <w:t>，</w:t>
      </w:r>
      <w:r>
        <w:rPr>
          <w:rFonts w:hint="eastAsia" w:ascii="宋体" w:hAnsi="宋体" w:cs="宋体"/>
          <w:lang w:eastAsia="zh-TW"/>
        </w:rPr>
        <w:t>本须知有关</w:t>
      </w:r>
      <w:r>
        <w:rPr>
          <w:rFonts w:hint="eastAsia" w:ascii="宋体" w:hAnsi="宋体"/>
        </w:rPr>
        <w:t>磋商保证金</w:t>
      </w:r>
      <w:r>
        <w:rPr>
          <w:rFonts w:hint="eastAsia" w:ascii="宋体" w:hAnsi="宋体" w:cs="宋体"/>
          <w:lang w:eastAsia="zh-TW"/>
        </w:rPr>
        <w:t>的退还和</w:t>
      </w:r>
      <w:r>
        <w:rPr>
          <w:rFonts w:hint="eastAsia" w:ascii="宋体" w:hAnsi="宋体" w:cs="宋体"/>
        </w:rPr>
        <w:t>不予退还</w:t>
      </w:r>
      <w:r>
        <w:rPr>
          <w:rFonts w:hint="eastAsia" w:ascii="宋体" w:hAnsi="宋体" w:cs="宋体"/>
          <w:lang w:eastAsia="zh-TW"/>
        </w:rPr>
        <w:t>的规定将在延长了的有效期内继续有效。</w:t>
      </w:r>
    </w:p>
    <w:p w14:paraId="52193D04">
      <w:pPr>
        <w:numPr>
          <w:ilvl w:val="0"/>
          <w:numId w:val="32"/>
        </w:numPr>
        <w:snapToGrid w:val="0"/>
        <w:spacing w:line="360" w:lineRule="auto"/>
        <w:ind w:left="358" w:hanging="358" w:hangingChars="170"/>
        <w:jc w:val="both"/>
        <w:outlineLvl w:val="2"/>
        <w:rPr>
          <w:rFonts w:ascii="宋体" w:hAnsi="宋体"/>
          <w:b/>
          <w:bCs/>
        </w:rPr>
      </w:pPr>
      <w:bookmarkStart w:id="191" w:name="_Toc410736154"/>
      <w:bookmarkStart w:id="192" w:name="_Toc410738954"/>
      <w:bookmarkStart w:id="193" w:name="_Toc416770231"/>
      <w:bookmarkStart w:id="194" w:name="_Toc416771341"/>
      <w:r>
        <w:rPr>
          <w:rFonts w:hint="eastAsia" w:ascii="宋体" w:hAnsi="宋体"/>
          <w:b/>
          <w:bCs/>
        </w:rPr>
        <w:t>响应文件的式样和签署</w:t>
      </w:r>
      <w:bookmarkEnd w:id="191"/>
      <w:bookmarkEnd w:id="192"/>
      <w:bookmarkEnd w:id="193"/>
      <w:bookmarkEnd w:id="194"/>
    </w:p>
    <w:p w14:paraId="0EF715C1">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响应供应商应准备一份响应文件正本</w:t>
      </w:r>
      <w:r>
        <w:rPr>
          <w:rFonts w:hint="eastAsia" w:ascii="宋体" w:hAnsi="宋体" w:cs="宋体"/>
        </w:rPr>
        <w:t>、电子文件</w:t>
      </w:r>
      <w:r>
        <w:rPr>
          <w:rFonts w:hint="eastAsia" w:ascii="宋体" w:hAnsi="宋体" w:cs="宋体"/>
          <w:lang w:eastAsia="zh-TW"/>
        </w:rPr>
        <w:t>和</w:t>
      </w:r>
      <w:r>
        <w:rPr>
          <w:rFonts w:hint="eastAsia" w:ascii="宋体" w:hAnsi="宋体" w:cs="宋体"/>
          <w:b/>
          <w:lang w:eastAsia="zh-TW"/>
        </w:rPr>
        <w:t>磋商资料表</w:t>
      </w:r>
      <w:r>
        <w:rPr>
          <w:rFonts w:hint="eastAsia" w:ascii="宋体" w:hAnsi="宋体" w:cs="宋体"/>
          <w:lang w:eastAsia="zh-TW"/>
        </w:rPr>
        <w:t>中规定数目的副本</w:t>
      </w:r>
      <w:r>
        <w:rPr>
          <w:rFonts w:hint="eastAsia" w:ascii="宋体" w:hAnsi="宋体" w:cs="宋体"/>
        </w:rPr>
        <w:t>，</w:t>
      </w:r>
      <w:r>
        <w:rPr>
          <w:rFonts w:hint="eastAsia" w:ascii="宋体" w:hAnsi="宋体" w:cs="宋体"/>
          <w:lang w:eastAsia="zh-TW"/>
        </w:rPr>
        <w:t>响应文件的副本可采用正本的复印件。每套响应文件须清楚地标明“正本”或</w:t>
      </w:r>
      <w:r>
        <w:rPr>
          <w:rFonts w:hint="eastAsia" w:ascii="宋体" w:hAnsi="宋体" w:cs="宋体"/>
        </w:rPr>
        <w:t>“副</w:t>
      </w:r>
      <w:r>
        <w:rPr>
          <w:rFonts w:hint="eastAsia" w:ascii="宋体" w:hAnsi="宋体" w:cs="宋体"/>
          <w:lang w:eastAsia="zh-TW"/>
        </w:rPr>
        <w:t>本</w:t>
      </w:r>
      <w:r>
        <w:rPr>
          <w:rFonts w:hint="eastAsia" w:ascii="宋体" w:hAnsi="宋体" w:cs="宋体"/>
        </w:rPr>
        <w:t>”</w:t>
      </w:r>
      <w:r>
        <w:rPr>
          <w:rFonts w:hint="eastAsia" w:ascii="宋体" w:hAnsi="宋体" w:cs="宋体"/>
          <w:lang w:eastAsia="zh-TW"/>
        </w:rPr>
        <w:t>。若副本与正本不符</w:t>
      </w:r>
      <w:r>
        <w:rPr>
          <w:rFonts w:hint="eastAsia" w:ascii="宋体" w:hAnsi="宋体" w:cs="宋体"/>
        </w:rPr>
        <w:t>，</w:t>
      </w:r>
      <w:r>
        <w:rPr>
          <w:rFonts w:hint="eastAsia" w:ascii="宋体" w:hAnsi="宋体" w:cs="宋体"/>
          <w:lang w:eastAsia="zh-TW"/>
        </w:rPr>
        <w:t>以正本为准。</w:t>
      </w:r>
    </w:p>
    <w:p w14:paraId="6DF5BFD9">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响应文件</w:t>
      </w:r>
      <w:r>
        <w:rPr>
          <w:rFonts w:hint="eastAsia" w:ascii="宋体" w:hAnsi="宋体" w:cs="宋体"/>
        </w:rPr>
        <w:t>的签署</w:t>
      </w:r>
    </w:p>
    <w:p w14:paraId="63D91409">
      <w:pPr>
        <w:numPr>
          <w:ilvl w:val="2"/>
          <w:numId w:val="32"/>
        </w:numPr>
        <w:tabs>
          <w:tab w:val="left" w:pos="851"/>
          <w:tab w:val="clear" w:pos="720"/>
        </w:tabs>
        <w:snapToGrid w:val="0"/>
        <w:spacing w:line="360" w:lineRule="auto"/>
        <w:ind w:left="851" w:hanging="851"/>
        <w:jc w:val="both"/>
        <w:rPr>
          <w:rFonts w:ascii="宋体" w:hAnsi="宋体" w:cs="宋体"/>
          <w:lang w:eastAsia="zh-TW"/>
        </w:rPr>
      </w:pPr>
      <w:r>
        <w:rPr>
          <w:rFonts w:hint="eastAsia" w:ascii="宋体" w:hAnsi="宋体" w:cs="宋体"/>
          <w:lang w:eastAsia="zh-TW"/>
        </w:rPr>
        <w:t>响应文件的正本需打印或用不褪色墨水书写</w:t>
      </w:r>
      <w:r>
        <w:rPr>
          <w:rFonts w:hint="eastAsia" w:ascii="宋体" w:hAnsi="宋体" w:cs="宋体"/>
        </w:rPr>
        <w:t>，</w:t>
      </w:r>
      <w:r>
        <w:rPr>
          <w:rFonts w:hint="eastAsia" w:ascii="宋体" w:hAnsi="宋体" w:cs="宋体"/>
          <w:lang w:eastAsia="zh-TW"/>
        </w:rPr>
        <w:t>竞争性磋商文件</w:t>
      </w:r>
      <w:r>
        <w:rPr>
          <w:rFonts w:hint="eastAsia" w:ascii="宋体" w:hAnsi="宋体" w:cs="宋体"/>
        </w:rPr>
        <w:t>要求签名的</w:t>
      </w:r>
      <w:r>
        <w:rPr>
          <w:rFonts w:hint="eastAsia" w:ascii="宋体" w:hAnsi="宋体" w:cs="宋体"/>
          <w:lang w:eastAsia="zh-TW"/>
        </w:rPr>
        <w:t>由</w:t>
      </w:r>
      <w:r>
        <w:rPr>
          <w:rFonts w:hint="eastAsia" w:ascii="宋体" w:hAnsi="宋体" w:cs="宋体"/>
        </w:rPr>
        <w:t>法定</w:t>
      </w:r>
      <w:r>
        <w:rPr>
          <w:rFonts w:hint="eastAsia" w:ascii="宋体" w:hAnsi="宋体" w:cs="宋体"/>
          <w:lang w:eastAsia="zh-TW"/>
        </w:rPr>
        <w:t>代表人或经其正式授权的代表</w:t>
      </w:r>
      <w:r>
        <w:rPr>
          <w:rFonts w:hint="eastAsia" w:ascii="宋体" w:hAnsi="宋体"/>
        </w:rPr>
        <w:t>签署本人姓名或</w:t>
      </w:r>
      <w:r>
        <w:rPr>
          <w:rFonts w:hint="eastAsia"/>
        </w:rPr>
        <w:t>或盖章</w:t>
      </w:r>
      <w:r>
        <w:rPr>
          <w:rFonts w:hint="eastAsia" w:ascii="宋体" w:hAnsi="宋体" w:cs="宋体"/>
        </w:rPr>
        <w:t>。以及磋商文件中明示盖章处应加盖响应供应商公章，副本可以</w:t>
      </w:r>
      <w:r>
        <w:rPr>
          <w:rFonts w:hint="eastAsia" w:ascii="宋体" w:hAnsi="宋体" w:cs="Courier New"/>
        </w:rPr>
        <w:t>用正本</w:t>
      </w:r>
      <w:r>
        <w:rPr>
          <w:rFonts w:hint="eastAsia" w:ascii="宋体" w:hAnsi="宋体" w:cs="宋体"/>
        </w:rPr>
        <w:t>复印，与正本具有同等法律效力</w:t>
      </w:r>
      <w:r>
        <w:rPr>
          <w:rFonts w:hint="eastAsia" w:ascii="宋体" w:hAnsi="宋体" w:cs="宋体"/>
          <w:lang w:eastAsia="zh-TW"/>
        </w:rPr>
        <w:t>。授权代表须将以书面形式出具的《法定代表人授权</w:t>
      </w:r>
      <w:r>
        <w:rPr>
          <w:rFonts w:hint="eastAsia" w:ascii="宋体" w:hAnsi="宋体" w:cs="宋体"/>
        </w:rPr>
        <w:t>委托</w:t>
      </w:r>
      <w:r>
        <w:rPr>
          <w:rFonts w:hint="eastAsia" w:ascii="宋体" w:hAnsi="宋体" w:cs="宋体"/>
          <w:lang w:eastAsia="zh-TW"/>
        </w:rPr>
        <w:t>书》附在响应文件中。</w:t>
      </w:r>
    </w:p>
    <w:p w14:paraId="279A0CE3">
      <w:pPr>
        <w:numPr>
          <w:ilvl w:val="2"/>
          <w:numId w:val="32"/>
        </w:numPr>
        <w:tabs>
          <w:tab w:val="left" w:pos="851"/>
          <w:tab w:val="clear" w:pos="720"/>
        </w:tabs>
        <w:snapToGrid w:val="0"/>
        <w:spacing w:line="360" w:lineRule="auto"/>
        <w:ind w:left="851" w:hanging="851"/>
        <w:jc w:val="both"/>
        <w:rPr>
          <w:rFonts w:ascii="宋体" w:hAnsi="宋体" w:cs="宋体"/>
        </w:rPr>
      </w:pPr>
      <w:r>
        <w:rPr>
          <w:rFonts w:hint="eastAsia" w:ascii="宋体" w:hAnsi="宋体" w:cs="宋体"/>
          <w:lang w:eastAsia="zh-TW"/>
        </w:rPr>
        <w:t>响应文件中的任何重要的插字、涂改和增删，必须由法定代表人或经其正式授权的代表在旁边</w:t>
      </w:r>
      <w:r>
        <w:rPr>
          <w:rFonts w:hint="eastAsia" w:ascii="宋体" w:hAnsi="宋体"/>
        </w:rPr>
        <w:t>签署本人姓名或印盖本人姓名章</w:t>
      </w:r>
      <w:r>
        <w:rPr>
          <w:rFonts w:hint="eastAsia" w:ascii="宋体" w:hAnsi="宋体" w:cs="宋体"/>
          <w:lang w:eastAsia="zh-TW"/>
        </w:rPr>
        <w:t>才有效。</w:t>
      </w:r>
    </w:p>
    <w:p w14:paraId="05276203">
      <w:pPr>
        <w:snapToGrid w:val="0"/>
        <w:spacing w:line="360" w:lineRule="auto"/>
        <w:ind w:left="357"/>
        <w:jc w:val="center"/>
        <w:outlineLvl w:val="2"/>
        <w:rPr>
          <w:rFonts w:ascii="仿宋_GB2312" w:hAnsi="宋体" w:eastAsia="仿宋_GB2312"/>
          <w:b/>
          <w:bCs/>
          <w:sz w:val="28"/>
          <w:szCs w:val="28"/>
        </w:rPr>
      </w:pPr>
      <w:bookmarkStart w:id="195" w:name="_Toc410738955"/>
      <w:bookmarkStart w:id="196" w:name="_Toc410736155"/>
      <w:bookmarkStart w:id="197" w:name="_Toc416770232"/>
      <w:bookmarkStart w:id="198" w:name="_Toc416771342"/>
      <w:r>
        <w:rPr>
          <w:rFonts w:hint="eastAsia" w:ascii="仿宋_GB2312" w:hAnsi="宋体" w:eastAsia="仿宋_GB2312"/>
          <w:b/>
          <w:bCs/>
          <w:sz w:val="28"/>
          <w:szCs w:val="28"/>
        </w:rPr>
        <w:t>四、响应文件的递交</w:t>
      </w:r>
      <w:bookmarkEnd w:id="195"/>
      <w:bookmarkEnd w:id="196"/>
      <w:bookmarkEnd w:id="197"/>
      <w:bookmarkEnd w:id="198"/>
    </w:p>
    <w:p w14:paraId="1B11A438">
      <w:pPr>
        <w:numPr>
          <w:ilvl w:val="0"/>
          <w:numId w:val="32"/>
        </w:numPr>
        <w:snapToGrid w:val="0"/>
        <w:spacing w:line="360" w:lineRule="auto"/>
        <w:ind w:left="358" w:hanging="358" w:hangingChars="170"/>
        <w:jc w:val="both"/>
        <w:outlineLvl w:val="2"/>
        <w:rPr>
          <w:rFonts w:ascii="宋体" w:hAnsi="宋体"/>
          <w:b/>
          <w:bCs/>
        </w:rPr>
      </w:pPr>
      <w:bookmarkStart w:id="199" w:name="_Toc416770233"/>
      <w:bookmarkStart w:id="200" w:name="_Toc410736156"/>
      <w:bookmarkStart w:id="201" w:name="_Toc410738956"/>
      <w:bookmarkStart w:id="202" w:name="_Toc416771343"/>
      <w:r>
        <w:rPr>
          <w:rFonts w:hint="eastAsia" w:ascii="宋体" w:hAnsi="宋体"/>
          <w:b/>
          <w:bCs/>
        </w:rPr>
        <w:t>响应文件的密封和标记</w:t>
      </w:r>
      <w:bookmarkEnd w:id="199"/>
      <w:bookmarkEnd w:id="200"/>
      <w:bookmarkEnd w:id="201"/>
      <w:bookmarkEnd w:id="202"/>
    </w:p>
    <w:p w14:paraId="2D47EE1C">
      <w:pPr>
        <w:numPr>
          <w:ilvl w:val="1"/>
          <w:numId w:val="32"/>
        </w:numPr>
        <w:tabs>
          <w:tab w:val="left" w:pos="709"/>
          <w:tab w:val="clear" w:pos="360"/>
        </w:tabs>
        <w:snapToGrid w:val="0"/>
        <w:spacing w:line="360" w:lineRule="auto"/>
        <w:ind w:left="709" w:hanging="709"/>
        <w:rPr>
          <w:rFonts w:ascii="宋体" w:hAnsi="宋体" w:cs="宋体"/>
        </w:rPr>
      </w:pPr>
      <w:r>
        <w:rPr>
          <w:rFonts w:hint="eastAsia" w:ascii="宋体" w:hAnsi="宋体" w:cs="宋体"/>
        </w:rPr>
        <w:t>响应供应商应单独提交一个密封信封，并在信封上标明“报价信封”的字样，内容包括报价一览表、磋商保证金缴付凭证、电子文件、退磋商保证金说明函和开票资料说明函，若本项目（或包组）接受联合体投标，则联合体投标，应将各方共同签署的《联合投标协议》和《投标联合体授权主体方协议书》一并提交。“报价信封”是响应文件的组成部分。</w:t>
      </w:r>
    </w:p>
    <w:p w14:paraId="5DB388B2">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响应文件</w:t>
      </w:r>
      <w:r>
        <w:rPr>
          <w:rFonts w:hint="eastAsia" w:ascii="宋体" w:hAnsi="宋体" w:cs="宋体"/>
        </w:rPr>
        <w:t>密封</w:t>
      </w:r>
      <w:r>
        <w:rPr>
          <w:rFonts w:hint="eastAsia" w:ascii="宋体" w:hAnsi="宋体"/>
        </w:rPr>
        <w:t>：</w:t>
      </w:r>
    </w:p>
    <w:p w14:paraId="62F5AB14">
      <w:pPr>
        <w:numPr>
          <w:ilvl w:val="2"/>
          <w:numId w:val="32"/>
        </w:numPr>
        <w:tabs>
          <w:tab w:val="left" w:pos="851"/>
        </w:tabs>
        <w:snapToGrid w:val="0"/>
        <w:spacing w:line="360" w:lineRule="auto"/>
        <w:jc w:val="both"/>
        <w:rPr>
          <w:rFonts w:ascii="宋体" w:hAnsi="宋体" w:cs="宋体"/>
        </w:rPr>
      </w:pPr>
      <w:r>
        <w:rPr>
          <w:rFonts w:hint="eastAsia" w:ascii="宋体" w:hAnsi="宋体"/>
        </w:rPr>
        <w:t>响应文件正本与副本可以单独密封包装，也可以所有响应文件密封包装在一个密封袋内。密封袋的封口处应粘贴处理</w:t>
      </w:r>
      <w:r>
        <w:rPr>
          <w:rFonts w:hint="eastAsia" w:ascii="宋体" w:hAnsi="宋体" w:cs="宋体"/>
        </w:rPr>
        <w:t>；</w:t>
      </w:r>
    </w:p>
    <w:p w14:paraId="6DBC4FBB">
      <w:pPr>
        <w:numPr>
          <w:ilvl w:val="2"/>
          <w:numId w:val="32"/>
        </w:numPr>
        <w:tabs>
          <w:tab w:val="left" w:pos="851"/>
        </w:tabs>
        <w:snapToGrid w:val="0"/>
        <w:spacing w:line="360" w:lineRule="auto"/>
        <w:jc w:val="both"/>
        <w:rPr>
          <w:rFonts w:ascii="宋体" w:hAnsi="宋体" w:cs="宋体"/>
        </w:rPr>
      </w:pPr>
      <w:r>
        <w:rPr>
          <w:rFonts w:hint="eastAsia" w:ascii="宋体" w:hAnsi="宋体" w:cs="宋体"/>
        </w:rPr>
        <w:t>不足以造成响应文件可从外包装内散出而导致响应文件泄密的，不认定为响应文件未密封；</w:t>
      </w:r>
    </w:p>
    <w:p w14:paraId="14D94243">
      <w:pPr>
        <w:numPr>
          <w:ilvl w:val="1"/>
          <w:numId w:val="32"/>
        </w:numPr>
        <w:snapToGrid w:val="0"/>
        <w:spacing w:line="360" w:lineRule="auto"/>
        <w:rPr>
          <w:rFonts w:ascii="宋体" w:hAnsi="宋体"/>
        </w:rPr>
      </w:pPr>
      <w:r>
        <w:rPr>
          <w:rFonts w:hint="eastAsia" w:ascii="宋体" w:hAnsi="宋体" w:cs="宋体"/>
          <w:lang w:eastAsia="zh-TW"/>
        </w:rPr>
        <w:t>响应文件</w:t>
      </w:r>
      <w:r>
        <w:rPr>
          <w:rFonts w:hint="eastAsia" w:ascii="宋体" w:hAnsi="宋体" w:cs="宋体"/>
        </w:rPr>
        <w:t>的标记：</w:t>
      </w:r>
    </w:p>
    <w:p w14:paraId="27EF8B0B">
      <w:pPr>
        <w:numPr>
          <w:ilvl w:val="2"/>
          <w:numId w:val="32"/>
        </w:numPr>
        <w:tabs>
          <w:tab w:val="left" w:pos="851"/>
        </w:tabs>
        <w:snapToGrid w:val="0"/>
        <w:spacing w:line="360" w:lineRule="auto"/>
        <w:jc w:val="both"/>
        <w:rPr>
          <w:rFonts w:ascii="宋体" w:hAnsi="宋体" w:cs="宋体"/>
        </w:rPr>
      </w:pPr>
      <w:r>
        <w:rPr>
          <w:rFonts w:hint="eastAsia" w:ascii="宋体" w:hAnsi="宋体" w:cs="宋体"/>
        </w:rPr>
        <w:t>清楚写明响应供应商名称和地址。</w:t>
      </w:r>
    </w:p>
    <w:p w14:paraId="2DC772DA">
      <w:pPr>
        <w:numPr>
          <w:ilvl w:val="2"/>
          <w:numId w:val="32"/>
        </w:numPr>
        <w:tabs>
          <w:tab w:val="left" w:pos="851"/>
        </w:tabs>
        <w:snapToGrid w:val="0"/>
        <w:spacing w:line="360" w:lineRule="auto"/>
        <w:jc w:val="both"/>
        <w:rPr>
          <w:rFonts w:ascii="宋体" w:hAnsi="宋体" w:cs="宋体"/>
        </w:rPr>
      </w:pPr>
      <w:r>
        <w:rPr>
          <w:rFonts w:hint="eastAsia" w:ascii="宋体" w:hAnsi="宋体"/>
        </w:rPr>
        <w:t>注明磋商邀请中指明的项目名称</w:t>
      </w:r>
      <w:r>
        <w:rPr>
          <w:rFonts w:hint="eastAsia" w:ascii="宋体" w:hAnsi="宋体" w:cs="宋体"/>
          <w:lang w:eastAsia="zh-TW"/>
        </w:rPr>
        <w:t>、</w:t>
      </w:r>
      <w:r>
        <w:rPr>
          <w:rFonts w:hint="eastAsia" w:ascii="宋体" w:hAnsi="宋体" w:cs="宋体"/>
        </w:rPr>
        <w:t>项目</w:t>
      </w:r>
      <w:r>
        <w:rPr>
          <w:rFonts w:hint="eastAsia" w:ascii="宋体" w:hAnsi="宋体" w:cs="宋体"/>
          <w:lang w:eastAsia="zh-TW"/>
        </w:rPr>
        <w:t>编号</w:t>
      </w:r>
      <w:r>
        <w:rPr>
          <w:rFonts w:hint="eastAsia" w:ascii="宋体" w:hAnsi="宋体" w:cs="宋体"/>
        </w:rPr>
        <w:t>、包组号（如有）的</w:t>
      </w:r>
      <w:r>
        <w:rPr>
          <w:rFonts w:hint="eastAsia" w:ascii="宋体" w:hAnsi="宋体" w:cs="宋体"/>
          <w:lang w:eastAsia="zh-TW"/>
        </w:rPr>
        <w:t>字样。</w:t>
      </w:r>
    </w:p>
    <w:p w14:paraId="4DCB3FBE">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如果未按本须知</w:t>
      </w:r>
      <w:r>
        <w:rPr>
          <w:rFonts w:hint="eastAsia" w:ascii="宋体" w:hAnsi="宋体" w:cs="宋体"/>
        </w:rPr>
        <w:t>上款</w:t>
      </w:r>
      <w:r>
        <w:rPr>
          <w:rFonts w:hint="eastAsia" w:ascii="宋体" w:hAnsi="宋体" w:cs="宋体"/>
          <w:lang w:eastAsia="zh-TW"/>
        </w:rPr>
        <w:t>要求加写标记和</w:t>
      </w:r>
      <w:r>
        <w:rPr>
          <w:rFonts w:hint="eastAsia" w:ascii="宋体" w:hAnsi="宋体" w:cs="宋体"/>
        </w:rPr>
        <w:t>密封，</w:t>
      </w:r>
      <w:r>
        <w:rPr>
          <w:rFonts w:hint="eastAsia" w:ascii="宋体" w:hAnsi="宋体" w:cs="宋体"/>
          <w:lang w:eastAsia="zh-TW"/>
        </w:rPr>
        <w:t>采购代理机构对误投或提前启封概不负责</w:t>
      </w:r>
      <w:r>
        <w:rPr>
          <w:rFonts w:hint="eastAsia" w:ascii="宋体" w:hAnsi="宋体" w:cs="宋体"/>
        </w:rPr>
        <w:t>。</w:t>
      </w:r>
    </w:p>
    <w:p w14:paraId="1265B922">
      <w:pPr>
        <w:numPr>
          <w:ilvl w:val="0"/>
          <w:numId w:val="32"/>
        </w:numPr>
        <w:snapToGrid w:val="0"/>
        <w:spacing w:line="360" w:lineRule="auto"/>
        <w:ind w:left="358" w:hanging="358" w:hangingChars="170"/>
        <w:jc w:val="both"/>
        <w:outlineLvl w:val="2"/>
        <w:rPr>
          <w:rFonts w:ascii="宋体" w:hAnsi="宋体"/>
          <w:b/>
          <w:bCs/>
        </w:rPr>
      </w:pPr>
      <w:bookmarkStart w:id="203" w:name="_Toc410738957"/>
      <w:bookmarkStart w:id="204" w:name="_Toc416771344"/>
      <w:bookmarkStart w:id="205" w:name="_Toc416770234"/>
      <w:bookmarkStart w:id="206" w:name="_Toc410736157"/>
      <w:r>
        <w:rPr>
          <w:rFonts w:hint="eastAsia" w:ascii="宋体" w:hAnsi="宋体"/>
          <w:b/>
          <w:bCs/>
        </w:rPr>
        <w:t>响应文件递交截止期</w:t>
      </w:r>
      <w:bookmarkEnd w:id="203"/>
      <w:bookmarkEnd w:id="204"/>
      <w:bookmarkEnd w:id="205"/>
      <w:bookmarkEnd w:id="206"/>
    </w:p>
    <w:p w14:paraId="444FCEDD">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响应供应商应在</w:t>
      </w:r>
      <w:r>
        <w:rPr>
          <w:rFonts w:hint="eastAsia" w:ascii="宋体" w:hAnsi="宋体" w:cs="宋体"/>
          <w:b/>
        </w:rPr>
        <w:t>磋商资料表</w:t>
      </w:r>
      <w:r>
        <w:rPr>
          <w:rFonts w:hint="eastAsia" w:ascii="宋体" w:hAnsi="宋体" w:cs="宋体"/>
          <w:lang w:eastAsia="zh-TW"/>
        </w:rPr>
        <w:t>中规定的截止日期和时间</w:t>
      </w:r>
      <w:r>
        <w:rPr>
          <w:rFonts w:hint="eastAsia" w:ascii="宋体" w:hAnsi="宋体" w:cs="宋体"/>
        </w:rPr>
        <w:t>前，</w:t>
      </w:r>
      <w:r>
        <w:rPr>
          <w:rFonts w:hint="eastAsia" w:ascii="宋体" w:hAnsi="宋体" w:cs="宋体"/>
          <w:lang w:eastAsia="zh-TW"/>
        </w:rPr>
        <w:t>将响应文件递交至</w:t>
      </w:r>
      <w:r>
        <w:rPr>
          <w:rFonts w:hint="eastAsia" w:ascii="宋体" w:hAnsi="宋体" w:cs="宋体"/>
          <w:b/>
          <w:lang w:eastAsia="zh-TW"/>
        </w:rPr>
        <w:t>磋商资料表</w:t>
      </w:r>
      <w:r>
        <w:rPr>
          <w:rFonts w:hint="eastAsia" w:ascii="宋体" w:hAnsi="宋体" w:cs="宋体"/>
          <w:lang w:eastAsia="zh-TW"/>
        </w:rPr>
        <w:t>中指明的</w:t>
      </w:r>
      <w:r>
        <w:rPr>
          <w:rFonts w:hint="eastAsia" w:ascii="宋体" w:hAnsi="宋体" w:cs="宋体"/>
        </w:rPr>
        <w:t>地点</w:t>
      </w:r>
      <w:r>
        <w:rPr>
          <w:rFonts w:hint="eastAsia" w:ascii="宋体" w:hAnsi="宋体" w:cs="宋体"/>
          <w:lang w:eastAsia="zh-TW"/>
        </w:rPr>
        <w:t>。</w:t>
      </w:r>
      <w:r>
        <w:rPr>
          <w:rFonts w:hint="eastAsia" w:ascii="宋体" w:hAnsi="宋体" w:cs="宋体"/>
        </w:rPr>
        <w:t>在截止时间后送达的响应文件为无效文件，招标采购单位或者磋商小组应当拒绝。</w:t>
      </w:r>
    </w:p>
    <w:p w14:paraId="627F4D0E">
      <w:pPr>
        <w:numPr>
          <w:ilvl w:val="0"/>
          <w:numId w:val="32"/>
        </w:numPr>
        <w:snapToGrid w:val="0"/>
        <w:spacing w:line="360" w:lineRule="auto"/>
        <w:ind w:left="358" w:hanging="358" w:hangingChars="170"/>
        <w:jc w:val="both"/>
        <w:outlineLvl w:val="2"/>
        <w:rPr>
          <w:rFonts w:ascii="宋体" w:hAnsi="宋体"/>
          <w:b/>
          <w:bCs/>
        </w:rPr>
      </w:pPr>
      <w:bookmarkStart w:id="207" w:name="_Toc410736158"/>
      <w:bookmarkStart w:id="208" w:name="_Toc416770235"/>
      <w:bookmarkStart w:id="209" w:name="_Toc416771345"/>
      <w:bookmarkStart w:id="210" w:name="_Toc410738958"/>
      <w:r>
        <w:rPr>
          <w:rFonts w:hint="eastAsia" w:ascii="宋体" w:hAnsi="宋体"/>
          <w:b/>
          <w:bCs/>
        </w:rPr>
        <w:t>响应文件的修改和撤回</w:t>
      </w:r>
      <w:bookmarkEnd w:id="207"/>
      <w:bookmarkEnd w:id="208"/>
      <w:bookmarkEnd w:id="209"/>
      <w:bookmarkEnd w:id="210"/>
      <w:r>
        <w:rPr>
          <w:rFonts w:hint="eastAsia" w:ascii="宋体" w:hAnsi="宋体"/>
          <w:b/>
          <w:bCs/>
        </w:rPr>
        <w:t>、撤销</w:t>
      </w:r>
    </w:p>
    <w:p w14:paraId="2A67D86D">
      <w:pPr>
        <w:numPr>
          <w:ilvl w:val="1"/>
          <w:numId w:val="32"/>
        </w:numPr>
        <w:tabs>
          <w:tab w:val="left" w:pos="709"/>
          <w:tab w:val="clear" w:pos="360"/>
        </w:tabs>
        <w:snapToGrid w:val="0"/>
        <w:spacing w:line="360" w:lineRule="auto"/>
        <w:ind w:left="709" w:hanging="709"/>
        <w:jc w:val="both"/>
        <w:rPr>
          <w:rFonts w:ascii="宋体" w:hAnsi="宋体" w:cs="宋体"/>
        </w:rPr>
      </w:pPr>
      <w:r>
        <w:rPr>
          <w:rFonts w:hint="eastAsia" w:ascii="宋体" w:hAnsi="宋体" w:cs="宋体"/>
          <w:lang w:eastAsia="zh-TW"/>
        </w:rPr>
        <w:t>响应供应商在响应文件</w:t>
      </w:r>
      <w:r>
        <w:rPr>
          <w:rFonts w:hint="eastAsia" w:ascii="宋体" w:hAnsi="宋体" w:cs="宋体"/>
        </w:rPr>
        <w:t>递交</w:t>
      </w:r>
      <w:r>
        <w:rPr>
          <w:rFonts w:hint="eastAsia" w:ascii="宋体" w:hAnsi="宋体" w:cs="宋体"/>
          <w:lang w:eastAsia="zh-TW"/>
        </w:rPr>
        <w:t>截止</w:t>
      </w:r>
      <w:r>
        <w:rPr>
          <w:rFonts w:hint="eastAsia" w:ascii="宋体" w:hAnsi="宋体" w:cs="宋体"/>
        </w:rPr>
        <w:t>时间</w:t>
      </w:r>
      <w:r>
        <w:rPr>
          <w:rFonts w:hint="eastAsia" w:ascii="宋体" w:hAnsi="宋体" w:cs="宋体"/>
          <w:lang w:eastAsia="zh-TW"/>
        </w:rPr>
        <w:t>前，可以对所递交的响应文件进行补充、修改或者撤回，并书面通知招标采购单位。补充、修改的内容应当按竞争性磋商文件要求签署、盖章，并作为响应文件的组成部分。</w:t>
      </w:r>
      <w:r>
        <w:rPr>
          <w:rFonts w:hint="eastAsia" w:ascii="宋体" w:hAnsi="宋体" w:cs="宋体"/>
        </w:rPr>
        <w:t>补充、修改的内容和响应文件不一致的，以补充、修改的内容为准。</w:t>
      </w:r>
      <w:r>
        <w:rPr>
          <w:rFonts w:hint="eastAsia" w:ascii="宋体" w:hAnsi="宋体" w:cs="宋体"/>
          <w:lang w:eastAsia="zh-TW"/>
        </w:rPr>
        <w:t>在响应文件</w:t>
      </w:r>
      <w:r>
        <w:rPr>
          <w:rFonts w:hint="eastAsia" w:ascii="宋体" w:hAnsi="宋体" w:cs="宋体"/>
        </w:rPr>
        <w:t>递交</w:t>
      </w:r>
      <w:r>
        <w:rPr>
          <w:rFonts w:hint="eastAsia" w:ascii="宋体" w:hAnsi="宋体" w:cs="宋体"/>
          <w:lang w:eastAsia="zh-TW"/>
        </w:rPr>
        <w:t>截止期时点之后，响应供应商不得对其响应文件做任何修改和补充。</w:t>
      </w:r>
    </w:p>
    <w:p w14:paraId="727E2596">
      <w:pPr>
        <w:numPr>
          <w:ilvl w:val="1"/>
          <w:numId w:val="32"/>
        </w:numPr>
        <w:tabs>
          <w:tab w:val="left" w:pos="709"/>
          <w:tab w:val="clear" w:pos="360"/>
        </w:tabs>
        <w:snapToGrid w:val="0"/>
        <w:spacing w:line="360" w:lineRule="auto"/>
        <w:ind w:left="709" w:hanging="709"/>
        <w:jc w:val="both"/>
        <w:rPr>
          <w:rFonts w:ascii="宋体" w:hAnsi="宋体"/>
          <w:bCs/>
        </w:rPr>
      </w:pPr>
      <w:r>
        <w:rPr>
          <w:rFonts w:hint="eastAsia" w:ascii="宋体" w:hAnsi="宋体"/>
          <w:bCs/>
        </w:rPr>
        <w:t>除响应供应商提交最后报价之前根据磋商情况退出磋商的情形外，响应供应商在投标截止后或在竞争性磋商文件中规定的磋商有效期内不可撤销其投标。否则，不予退还其磋商保证金。</w:t>
      </w:r>
    </w:p>
    <w:p w14:paraId="4C667152">
      <w:pPr>
        <w:numPr>
          <w:ilvl w:val="1"/>
          <w:numId w:val="32"/>
        </w:numPr>
        <w:tabs>
          <w:tab w:val="left" w:pos="709"/>
          <w:tab w:val="clear" w:pos="360"/>
        </w:tabs>
        <w:snapToGrid w:val="0"/>
        <w:spacing w:line="360" w:lineRule="auto"/>
        <w:ind w:left="709" w:hanging="709"/>
        <w:jc w:val="both"/>
        <w:rPr>
          <w:rFonts w:ascii="宋体" w:hAnsi="宋体"/>
          <w:bCs/>
        </w:rPr>
      </w:pPr>
      <w:r>
        <w:rPr>
          <w:rFonts w:hint="eastAsia" w:ascii="宋体" w:hAnsi="宋体"/>
        </w:rPr>
        <w:t>响应供应商所提交的响应文件在本项目递交响应文件截止时间后均不予退还。</w:t>
      </w:r>
    </w:p>
    <w:p w14:paraId="7A92D67C">
      <w:pPr>
        <w:snapToGrid w:val="0"/>
        <w:spacing w:line="360" w:lineRule="auto"/>
        <w:ind w:left="357"/>
        <w:jc w:val="center"/>
        <w:outlineLvl w:val="2"/>
        <w:rPr>
          <w:rFonts w:ascii="仿宋_GB2312" w:hAnsi="宋体" w:eastAsia="仿宋_GB2312"/>
          <w:b/>
          <w:bCs/>
          <w:sz w:val="28"/>
          <w:szCs w:val="28"/>
        </w:rPr>
      </w:pPr>
      <w:bookmarkStart w:id="211" w:name="_Toc410738959"/>
      <w:bookmarkStart w:id="212" w:name="_Toc416771346"/>
      <w:bookmarkStart w:id="213" w:name="_Toc416770236"/>
      <w:bookmarkStart w:id="214" w:name="_Toc410736159"/>
      <w:r>
        <w:rPr>
          <w:rFonts w:hint="eastAsia" w:ascii="仿宋_GB2312" w:hAnsi="宋体" w:eastAsia="仿宋_GB2312"/>
          <w:b/>
          <w:bCs/>
          <w:sz w:val="28"/>
          <w:szCs w:val="28"/>
        </w:rPr>
        <w:t>五、竞争性磋商流程</w:t>
      </w:r>
      <w:bookmarkEnd w:id="211"/>
      <w:bookmarkEnd w:id="212"/>
      <w:bookmarkEnd w:id="213"/>
      <w:bookmarkEnd w:id="214"/>
    </w:p>
    <w:p w14:paraId="5DE33589">
      <w:pPr>
        <w:numPr>
          <w:ilvl w:val="0"/>
          <w:numId w:val="32"/>
        </w:numPr>
        <w:snapToGrid w:val="0"/>
        <w:spacing w:line="360" w:lineRule="auto"/>
        <w:ind w:left="358" w:hanging="358" w:hangingChars="170"/>
        <w:jc w:val="both"/>
        <w:outlineLvl w:val="2"/>
        <w:rPr>
          <w:rFonts w:ascii="宋体" w:hAnsi="宋体"/>
          <w:b/>
          <w:bCs/>
        </w:rPr>
      </w:pPr>
      <w:bookmarkStart w:id="215" w:name="_Toc410738960"/>
      <w:bookmarkStart w:id="216" w:name="_Toc410736160"/>
      <w:bookmarkStart w:id="217" w:name="_Toc416771347"/>
      <w:bookmarkStart w:id="218" w:name="_Toc416770237"/>
      <w:r>
        <w:rPr>
          <w:rFonts w:hint="eastAsia" w:ascii="宋体" w:hAnsi="宋体"/>
          <w:b/>
          <w:bCs/>
        </w:rPr>
        <w:t>响应文件的拆封</w:t>
      </w:r>
      <w:bookmarkEnd w:id="215"/>
      <w:bookmarkEnd w:id="216"/>
      <w:bookmarkEnd w:id="217"/>
      <w:bookmarkEnd w:id="218"/>
    </w:p>
    <w:p w14:paraId="56572D18">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采购代理机构在磋商邀请中规定的日期、时</w:t>
      </w:r>
      <w:r>
        <w:rPr>
          <w:rFonts w:hint="eastAsia" w:ascii="宋体" w:hAnsi="宋体" w:cs="宋体"/>
        </w:rPr>
        <w:t>间</w:t>
      </w:r>
      <w:r>
        <w:rPr>
          <w:rFonts w:hint="eastAsia" w:ascii="宋体" w:hAnsi="宋体" w:cs="宋体"/>
          <w:lang w:eastAsia="zh-TW"/>
        </w:rPr>
        <w:t>和地点组织</w:t>
      </w:r>
      <w:r>
        <w:rPr>
          <w:rFonts w:hint="eastAsia" w:ascii="宋体" w:hAnsi="宋体" w:cs="宋体"/>
        </w:rPr>
        <w:t>磋商</w:t>
      </w:r>
      <w:r>
        <w:rPr>
          <w:rFonts w:hint="eastAsia" w:ascii="宋体" w:hAnsi="宋体" w:cs="宋体"/>
          <w:lang w:eastAsia="zh-TW"/>
        </w:rPr>
        <w:t>。</w:t>
      </w:r>
    </w:p>
    <w:p w14:paraId="0E1538DA">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响应文件拆封在竞争性磋商文件规定的</w:t>
      </w:r>
      <w:r>
        <w:rPr>
          <w:rFonts w:hint="eastAsia" w:ascii="宋体" w:hAnsi="宋体" w:cs="宋体"/>
        </w:rPr>
        <w:t>开标</w:t>
      </w:r>
      <w:r>
        <w:rPr>
          <w:rFonts w:hint="eastAsia" w:ascii="宋体" w:hAnsi="宋体" w:cs="宋体"/>
          <w:lang w:eastAsia="zh-TW"/>
        </w:rPr>
        <w:t>时间进行，拆封地点为竞争性磋商文件中预先确定的</w:t>
      </w:r>
      <w:r>
        <w:rPr>
          <w:rFonts w:hint="eastAsia" w:ascii="宋体" w:hAnsi="宋体" w:cs="宋体"/>
        </w:rPr>
        <w:t>开标</w:t>
      </w:r>
      <w:r>
        <w:rPr>
          <w:rFonts w:hint="eastAsia" w:ascii="宋体" w:hAnsi="宋体" w:cs="宋体"/>
          <w:lang w:eastAsia="zh-TW"/>
        </w:rPr>
        <w:t>地点。</w:t>
      </w:r>
    </w:p>
    <w:p w14:paraId="48628A31">
      <w:pPr>
        <w:numPr>
          <w:ilvl w:val="1"/>
          <w:numId w:val="32"/>
        </w:numPr>
        <w:tabs>
          <w:tab w:val="left" w:pos="709"/>
          <w:tab w:val="clear" w:pos="360"/>
        </w:tabs>
        <w:snapToGrid w:val="0"/>
        <w:spacing w:line="360" w:lineRule="auto"/>
        <w:ind w:left="709" w:hanging="709"/>
        <w:rPr>
          <w:rFonts w:ascii="宋体" w:hAnsi="宋体"/>
          <w:b/>
        </w:rPr>
      </w:pPr>
      <w:r>
        <w:rPr>
          <w:rFonts w:hint="eastAsia" w:ascii="宋体" w:hAnsi="宋体" w:cs="宋体"/>
        </w:rPr>
        <w:t>响应文件递交</w:t>
      </w:r>
      <w:r>
        <w:rPr>
          <w:rFonts w:hint="eastAsia" w:ascii="宋体" w:hAnsi="宋体" w:cs="宋体"/>
          <w:lang w:eastAsia="zh-TW"/>
        </w:rPr>
        <w:t>截止时间后，由全体</w:t>
      </w:r>
      <w:r>
        <w:rPr>
          <w:rFonts w:hint="eastAsia" w:ascii="宋体" w:hAnsi="宋体" w:cs="宋体"/>
        </w:rPr>
        <w:t>响应</w:t>
      </w:r>
      <w:r>
        <w:rPr>
          <w:rFonts w:hint="eastAsia" w:ascii="宋体" w:hAnsi="宋体" w:cs="宋体"/>
          <w:lang w:eastAsia="zh-TW"/>
        </w:rPr>
        <w:t>供应商对全部响应文件的密封情况进行检查。</w:t>
      </w:r>
    </w:p>
    <w:p w14:paraId="4BE98C56">
      <w:pPr>
        <w:numPr>
          <w:ilvl w:val="0"/>
          <w:numId w:val="32"/>
        </w:numPr>
        <w:snapToGrid w:val="0"/>
        <w:spacing w:line="360" w:lineRule="auto"/>
        <w:ind w:left="358" w:hanging="358" w:hangingChars="170"/>
        <w:jc w:val="both"/>
        <w:outlineLvl w:val="2"/>
        <w:rPr>
          <w:rFonts w:ascii="宋体" w:hAnsi="宋体"/>
          <w:b/>
          <w:bCs/>
        </w:rPr>
      </w:pPr>
      <w:bookmarkStart w:id="219" w:name="_Toc410738961"/>
      <w:bookmarkStart w:id="220" w:name="_Toc410736161"/>
      <w:bookmarkStart w:id="221" w:name="_Toc416771348"/>
      <w:bookmarkStart w:id="222" w:name="_Toc416770238"/>
      <w:r>
        <w:rPr>
          <w:rFonts w:hint="eastAsia" w:ascii="宋体" w:hAnsi="宋体"/>
          <w:b/>
          <w:bCs/>
        </w:rPr>
        <w:t>磋商小组</w:t>
      </w:r>
      <w:bookmarkEnd w:id="219"/>
      <w:bookmarkEnd w:id="220"/>
      <w:bookmarkEnd w:id="221"/>
      <w:bookmarkEnd w:id="222"/>
    </w:p>
    <w:p w14:paraId="198FBC74">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rPr>
        <w:t>磋商</w:t>
      </w:r>
      <w:r>
        <w:rPr>
          <w:rFonts w:hint="eastAsia" w:ascii="宋体" w:hAnsi="宋体" w:cs="宋体"/>
          <w:lang w:eastAsia="zh-TW"/>
        </w:rPr>
        <w:t>由依照政府采购法律、法规、规章、政策的规定，组建的</w:t>
      </w:r>
      <w:r>
        <w:rPr>
          <w:rFonts w:hint="eastAsia" w:ascii="宋体" w:hAnsi="宋体" w:cs="宋体"/>
        </w:rPr>
        <w:t>磋商小组</w:t>
      </w:r>
      <w:r>
        <w:rPr>
          <w:rFonts w:hint="eastAsia" w:ascii="宋体" w:hAnsi="宋体" w:cs="宋体"/>
          <w:lang w:eastAsia="zh-TW"/>
        </w:rPr>
        <w:t>负责。</w:t>
      </w:r>
      <w:r>
        <w:rPr>
          <w:rFonts w:hint="eastAsia" w:ascii="宋体" w:hAnsi="宋体" w:cs="宋体"/>
        </w:rPr>
        <w:t>磋商小组按政府采购规定由采购人</w:t>
      </w:r>
      <w:r>
        <w:rPr>
          <w:rFonts w:hint="eastAsia" w:ascii="宋体" w:hAnsi="宋体" w:cs="宋体"/>
          <w:lang w:eastAsia="zh-TW"/>
        </w:rPr>
        <w:t>代表和</w:t>
      </w:r>
      <w:r>
        <w:rPr>
          <w:rFonts w:hint="eastAsia" w:ascii="宋体" w:hAnsi="宋体" w:cs="宋体"/>
        </w:rPr>
        <w:t>相关专业</w:t>
      </w:r>
      <w:r>
        <w:rPr>
          <w:rFonts w:hint="eastAsia" w:ascii="宋体" w:hAnsi="宋体" w:cs="宋体"/>
          <w:lang w:eastAsia="zh-TW"/>
        </w:rPr>
        <w:t>的专家组成，</w:t>
      </w:r>
      <w:r>
        <w:rPr>
          <w:rFonts w:hint="eastAsia" w:ascii="宋体" w:hAnsi="宋体" w:cs="宋体"/>
        </w:rPr>
        <w:t>磋商小组</w:t>
      </w:r>
      <w:r>
        <w:rPr>
          <w:rFonts w:hint="eastAsia" w:ascii="宋体" w:hAnsi="宋体" w:cs="宋体"/>
          <w:lang w:eastAsia="zh-TW"/>
        </w:rPr>
        <w:t>人数将按照</w:t>
      </w:r>
      <w:r>
        <w:rPr>
          <w:rFonts w:hint="eastAsia" w:ascii="宋体" w:hAnsi="宋体" w:cs="宋体"/>
          <w:b/>
          <w:lang w:eastAsia="zh-TW"/>
        </w:rPr>
        <w:t>磋商资料表</w:t>
      </w:r>
      <w:r>
        <w:rPr>
          <w:rFonts w:hint="eastAsia" w:ascii="宋体" w:hAnsi="宋体" w:cs="宋体"/>
          <w:lang w:eastAsia="zh-TW"/>
        </w:rPr>
        <w:t>中确定。</w:t>
      </w:r>
      <w:r>
        <w:rPr>
          <w:rFonts w:hint="eastAsia" w:ascii="宋体" w:hAnsi="宋体" w:cs="宋体"/>
        </w:rPr>
        <w:t>磋商小组</w:t>
      </w:r>
      <w:r>
        <w:rPr>
          <w:rFonts w:hint="eastAsia" w:ascii="宋体" w:hAnsi="宋体" w:cs="宋体"/>
          <w:lang w:eastAsia="zh-TW"/>
        </w:rPr>
        <w:t>成员依法从政府采购</w:t>
      </w:r>
      <w:r>
        <w:rPr>
          <w:rFonts w:hint="eastAsia" w:ascii="宋体" w:hAnsi="宋体" w:cs="宋体"/>
        </w:rPr>
        <w:t>评审</w:t>
      </w:r>
      <w:r>
        <w:rPr>
          <w:rFonts w:hint="eastAsia" w:ascii="宋体" w:hAnsi="宋体" w:cs="宋体"/>
          <w:lang w:eastAsia="zh-TW"/>
        </w:rPr>
        <w:t>专家库中随机抽取。</w:t>
      </w:r>
    </w:p>
    <w:p w14:paraId="7F05BA91">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rPr>
        <w:t>磋商小组名单在磋商结果确定前严格保密</w:t>
      </w:r>
      <w:r>
        <w:rPr>
          <w:rFonts w:hint="eastAsia" w:ascii="宋体" w:hAnsi="宋体" w:cs="宋体"/>
          <w:lang w:eastAsia="zh-TW"/>
        </w:rPr>
        <w:t>。</w:t>
      </w:r>
      <w:r>
        <w:rPr>
          <w:rFonts w:hint="eastAsia" w:ascii="宋体" w:hAnsi="宋体" w:cs="宋体"/>
        </w:rPr>
        <w:t>评审</w:t>
      </w:r>
      <w:r>
        <w:rPr>
          <w:rFonts w:hint="eastAsia" w:ascii="宋体" w:hAnsi="宋体" w:cs="宋体"/>
          <w:lang w:eastAsia="zh-TW"/>
        </w:rPr>
        <w:t>专家有下列情形之一的，受到邀请应主动提出回避，采购当事人也可以要求该</w:t>
      </w:r>
      <w:r>
        <w:rPr>
          <w:rFonts w:hint="eastAsia" w:ascii="宋体" w:hAnsi="宋体" w:cs="宋体"/>
        </w:rPr>
        <w:t>评审</w:t>
      </w:r>
      <w:r>
        <w:rPr>
          <w:rFonts w:hint="eastAsia" w:ascii="宋体" w:hAnsi="宋体" w:cs="宋体"/>
          <w:lang w:eastAsia="zh-TW"/>
        </w:rPr>
        <w:t>专家回避：</w:t>
      </w:r>
    </w:p>
    <w:p w14:paraId="545BDCD4">
      <w:pPr>
        <w:numPr>
          <w:ilvl w:val="2"/>
          <w:numId w:val="32"/>
        </w:numPr>
        <w:tabs>
          <w:tab w:val="left" w:pos="851"/>
        </w:tabs>
        <w:snapToGrid w:val="0"/>
        <w:spacing w:line="360" w:lineRule="auto"/>
        <w:jc w:val="both"/>
        <w:rPr>
          <w:rFonts w:ascii="宋体" w:hAnsi="宋体" w:cs="宋体"/>
          <w:lang w:eastAsia="zh-TW"/>
        </w:rPr>
      </w:pPr>
      <w:r>
        <w:rPr>
          <w:rFonts w:hint="eastAsia" w:ascii="宋体" w:hAnsi="宋体" w:cs="宋体"/>
          <w:lang w:eastAsia="zh-TW"/>
        </w:rPr>
        <w:t>参加采购活动前3年内与供应商存在劳动关系；</w:t>
      </w:r>
    </w:p>
    <w:p w14:paraId="46A4E328">
      <w:pPr>
        <w:numPr>
          <w:ilvl w:val="2"/>
          <w:numId w:val="32"/>
        </w:numPr>
        <w:tabs>
          <w:tab w:val="left" w:pos="851"/>
        </w:tabs>
        <w:snapToGrid w:val="0"/>
        <w:spacing w:line="360" w:lineRule="auto"/>
        <w:jc w:val="both"/>
        <w:rPr>
          <w:rFonts w:ascii="宋体" w:hAnsi="宋体" w:cs="宋体"/>
          <w:lang w:eastAsia="zh-TW"/>
        </w:rPr>
      </w:pPr>
      <w:r>
        <w:rPr>
          <w:rFonts w:hint="eastAsia" w:ascii="宋体" w:hAnsi="宋体" w:cs="宋体"/>
          <w:lang w:eastAsia="zh-TW"/>
        </w:rPr>
        <w:t>参加采购活动前3年内担任供应商的董事、监事；</w:t>
      </w:r>
    </w:p>
    <w:p w14:paraId="36D79509">
      <w:pPr>
        <w:numPr>
          <w:ilvl w:val="2"/>
          <w:numId w:val="32"/>
        </w:numPr>
        <w:tabs>
          <w:tab w:val="left" w:pos="851"/>
        </w:tabs>
        <w:snapToGrid w:val="0"/>
        <w:spacing w:line="360" w:lineRule="auto"/>
        <w:jc w:val="both"/>
        <w:rPr>
          <w:rFonts w:ascii="宋体" w:hAnsi="宋体" w:cs="宋体"/>
          <w:lang w:eastAsia="zh-TW"/>
        </w:rPr>
      </w:pPr>
      <w:r>
        <w:rPr>
          <w:rFonts w:hint="eastAsia" w:ascii="宋体" w:hAnsi="宋体" w:cs="宋体"/>
          <w:lang w:eastAsia="zh-TW"/>
        </w:rPr>
        <w:t>参加采购活动前3年内是供应商的控股股东或者实际控制人；</w:t>
      </w:r>
    </w:p>
    <w:p w14:paraId="5F062EE0">
      <w:pPr>
        <w:numPr>
          <w:ilvl w:val="2"/>
          <w:numId w:val="32"/>
        </w:numPr>
        <w:tabs>
          <w:tab w:val="left" w:pos="851"/>
        </w:tabs>
        <w:snapToGrid w:val="0"/>
        <w:spacing w:line="360" w:lineRule="auto"/>
        <w:jc w:val="both"/>
        <w:rPr>
          <w:rFonts w:ascii="宋体" w:hAnsi="宋体" w:cs="宋体"/>
          <w:lang w:eastAsia="zh-TW"/>
        </w:rPr>
      </w:pPr>
      <w:r>
        <w:rPr>
          <w:rFonts w:hint="eastAsia" w:ascii="宋体" w:hAnsi="宋体" w:cs="宋体"/>
          <w:lang w:eastAsia="zh-TW"/>
        </w:rPr>
        <w:t>与供应商的法定代表人或者负责人有夫妻、直系血亲、三代以内旁系血亲或者近姻亲关系；</w:t>
      </w:r>
    </w:p>
    <w:p w14:paraId="0998C125">
      <w:pPr>
        <w:numPr>
          <w:ilvl w:val="2"/>
          <w:numId w:val="32"/>
        </w:numPr>
        <w:tabs>
          <w:tab w:val="left" w:pos="851"/>
        </w:tabs>
        <w:snapToGrid w:val="0"/>
        <w:spacing w:line="360" w:lineRule="auto"/>
        <w:jc w:val="both"/>
        <w:rPr>
          <w:rFonts w:ascii="宋体" w:hAnsi="宋体" w:cs="宋体"/>
          <w:lang w:eastAsia="zh-TW"/>
        </w:rPr>
      </w:pPr>
      <w:r>
        <w:rPr>
          <w:rFonts w:hint="eastAsia" w:ascii="宋体" w:hAnsi="宋体" w:cs="宋体"/>
          <w:lang w:eastAsia="zh-TW"/>
        </w:rPr>
        <w:t>与供应商有其他可能影响政府采购活动公平、公正进行的关系。</w:t>
      </w:r>
    </w:p>
    <w:p w14:paraId="4494527C">
      <w:pPr>
        <w:numPr>
          <w:ilvl w:val="0"/>
          <w:numId w:val="32"/>
        </w:numPr>
        <w:snapToGrid w:val="0"/>
        <w:spacing w:line="360" w:lineRule="auto"/>
        <w:ind w:left="358" w:hanging="358" w:hangingChars="170"/>
        <w:jc w:val="both"/>
        <w:outlineLvl w:val="2"/>
        <w:rPr>
          <w:rFonts w:ascii="宋体" w:hAnsi="宋体"/>
          <w:b/>
          <w:bCs/>
        </w:rPr>
      </w:pPr>
      <w:bookmarkStart w:id="223" w:name="_Toc416771349"/>
      <w:bookmarkStart w:id="224" w:name="_Toc416770239"/>
      <w:r>
        <w:rPr>
          <w:rFonts w:hint="eastAsia" w:ascii="宋体" w:hAnsi="宋体"/>
          <w:b/>
          <w:bCs/>
        </w:rPr>
        <w:t>磋商过程</w:t>
      </w:r>
      <w:bookmarkEnd w:id="223"/>
      <w:bookmarkEnd w:id="224"/>
    </w:p>
    <w:p w14:paraId="45738532">
      <w:pPr>
        <w:numPr>
          <w:ilvl w:val="1"/>
          <w:numId w:val="32"/>
        </w:numPr>
        <w:tabs>
          <w:tab w:val="left" w:pos="709"/>
          <w:tab w:val="clear" w:pos="360"/>
        </w:tabs>
        <w:snapToGrid w:val="0"/>
        <w:spacing w:line="360" w:lineRule="auto"/>
        <w:ind w:left="709" w:hanging="709"/>
        <w:rPr>
          <w:rFonts w:ascii="宋体" w:hAnsi="宋体" w:cs="黑体"/>
          <w:b/>
          <w:bCs/>
        </w:rPr>
      </w:pPr>
      <w:r>
        <w:rPr>
          <w:rFonts w:hint="eastAsia"/>
        </w:rPr>
        <w:t>磋商小组应当对响应文件的有效性、完整性和响应程度进行评审。磋商小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r>
        <w:rPr>
          <w:rFonts w:hint="eastAsia" w:ascii="宋体" w:hAnsi="宋体" w:cs="宋体"/>
        </w:rPr>
        <w:t>磋商小组要求供应商澄清、说明或者更正响应文件应当以书面形式作出。供应商的澄清、说明或者更正应当由法定代表人或其授权代表</w:t>
      </w:r>
      <w:r>
        <w:rPr>
          <w:rFonts w:hint="eastAsia" w:ascii="宋体" w:hAnsi="宋体"/>
        </w:rPr>
        <w:t>签署本人姓名（或印盖本人姓名章）</w:t>
      </w:r>
      <w:r>
        <w:rPr>
          <w:rFonts w:hint="eastAsia" w:ascii="宋体" w:hAnsi="宋体" w:cs="宋体"/>
        </w:rPr>
        <w:t>或者加盖公章。</w:t>
      </w:r>
    </w:p>
    <w:p w14:paraId="7FE3A864">
      <w:pPr>
        <w:numPr>
          <w:ilvl w:val="1"/>
          <w:numId w:val="32"/>
        </w:numPr>
        <w:tabs>
          <w:tab w:val="left" w:pos="709"/>
          <w:tab w:val="clear" w:pos="360"/>
        </w:tabs>
        <w:snapToGrid w:val="0"/>
        <w:spacing w:line="360" w:lineRule="auto"/>
        <w:ind w:left="709" w:hanging="709"/>
      </w:pPr>
      <w:r>
        <w:rPr>
          <w:rFonts w:hint="eastAsia"/>
        </w:rPr>
        <w:t>资格、符合性评审详见竞争性磋商文件第三章的《资格性、符合性评审表》，未能通过资格性、符合性审查被认定为无效响应，磋商小组可现场告知有关供应商。</w:t>
      </w:r>
      <w:r>
        <w:rPr>
          <w:rFonts w:hint="eastAsia" w:ascii="宋体" w:hAnsi="宋体" w:cs="宋体"/>
        </w:rPr>
        <w:t>只</w:t>
      </w:r>
      <w:r>
        <w:rPr>
          <w:rFonts w:hint="eastAsia"/>
        </w:rPr>
        <w:t>有全部满足《资格性和符合性审查表》所列各项要求的投标才是有效投标，只要不满足资格性和符合性条款中所列各项要求之一的，将被认定为无效投标。对投标有效性认定意见不一致的，磋商小组按照少数服从多数的原则确定。</w:t>
      </w:r>
    </w:p>
    <w:p w14:paraId="0FAFB456">
      <w:pPr>
        <w:numPr>
          <w:ilvl w:val="1"/>
          <w:numId w:val="32"/>
        </w:numPr>
        <w:tabs>
          <w:tab w:val="left" w:pos="709"/>
          <w:tab w:val="clear" w:pos="360"/>
        </w:tabs>
        <w:snapToGrid w:val="0"/>
        <w:spacing w:line="360" w:lineRule="auto"/>
        <w:ind w:left="709" w:hanging="709"/>
      </w:pPr>
      <w:r>
        <w:rPr>
          <w:rFonts w:hint="eastAsia"/>
        </w:rPr>
        <w:t>磋商小组所有成员应当集中与单一供应</w:t>
      </w:r>
      <w:r>
        <w:rPr>
          <w:rFonts w:hint="eastAsia" w:ascii="宋体" w:hAnsi="宋体" w:cs="宋体"/>
          <w:lang w:eastAsia="zh-TW"/>
        </w:rPr>
        <w:t>商（以</w:t>
      </w:r>
      <w:r>
        <w:rPr>
          <w:rFonts w:hint="eastAsia" w:ascii="宋体" w:hAnsi="宋体" w:cs="宋体"/>
        </w:rPr>
        <w:t>响</w:t>
      </w:r>
      <w:r>
        <w:rPr>
          <w:rFonts w:hint="eastAsia" w:ascii="宋体" w:hAnsi="宋体" w:cs="宋体"/>
          <w:lang w:eastAsia="zh-TW"/>
        </w:rPr>
        <w:t>应供应商签到顺序为准）</w:t>
      </w:r>
      <w:r>
        <w:rPr>
          <w:rFonts w:hint="eastAsia"/>
        </w:rPr>
        <w:t>分别进行磋商，并给予所有参加磋商</w:t>
      </w:r>
      <w:r>
        <w:rPr>
          <w:rFonts w:hint="eastAsia" w:ascii="宋体" w:hAnsi="宋体" w:cs="宋体"/>
        </w:rPr>
        <w:t>的响应</w:t>
      </w:r>
      <w:r>
        <w:rPr>
          <w:rFonts w:hint="eastAsia"/>
        </w:rPr>
        <w:t>供应商平等的磋商机</w:t>
      </w:r>
      <w:r>
        <w:rPr>
          <w:rFonts w:hint="eastAsia" w:ascii="宋体" w:hAnsi="宋体" w:cs="宋体"/>
        </w:rPr>
        <w:t>会</w:t>
      </w:r>
      <w:r>
        <w:rPr>
          <w:rFonts w:hint="eastAsia"/>
        </w:rPr>
        <w:t>。</w:t>
      </w:r>
    </w:p>
    <w:p w14:paraId="6D391B1C">
      <w:pPr>
        <w:numPr>
          <w:ilvl w:val="1"/>
          <w:numId w:val="32"/>
        </w:numPr>
        <w:tabs>
          <w:tab w:val="left" w:pos="709"/>
          <w:tab w:val="clear" w:pos="360"/>
        </w:tabs>
        <w:snapToGrid w:val="0"/>
        <w:spacing w:line="360" w:lineRule="auto"/>
        <w:ind w:left="709" w:hanging="709"/>
      </w:pPr>
      <w:r>
        <w:rPr>
          <w:rFonts w:hint="eastAsia"/>
        </w:rPr>
        <w:t>在磋商过程中，磋商小组可以根据竞争性磋商文件和磋商情况实质性变动采购需求中的技术、服务要求以及合同草案条款，但不得变动竞争性磋商文件中的其他内容。实质性变动的内容，须经采购人代表确认。对竞争性磋商文件作出实质性变动是竞争性磋商文件的有效组成部分，磋商小组应当及时以书面形式同时通知所有参加磋商的响应供应商。供应商应当按照竞争性磋商文件的变动情况和磋商小组的要求重新提交响应文件，并由其法定代表人或授权代表</w:t>
      </w:r>
      <w:r>
        <w:rPr>
          <w:rFonts w:hint="eastAsia" w:ascii="宋体" w:hAnsi="宋体"/>
        </w:rPr>
        <w:t>签署本人姓名（或印盖本人姓名章）</w:t>
      </w:r>
      <w:r>
        <w:rPr>
          <w:rFonts w:hint="eastAsia"/>
        </w:rPr>
        <w:t>或者加盖公章。</w:t>
      </w:r>
    </w:p>
    <w:p w14:paraId="5EAE856A">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rPr>
        <w:t>在磋商中</w:t>
      </w:r>
      <w:r>
        <w:rPr>
          <w:rFonts w:hint="eastAsia" w:ascii="宋体" w:hAnsi="宋体" w:cs="宋体"/>
          <w:lang w:eastAsia="zh-TW"/>
        </w:rPr>
        <w:t>，磋商小组</w:t>
      </w:r>
      <w:r>
        <w:rPr>
          <w:rFonts w:hint="eastAsia" w:ascii="宋体" w:hAnsi="宋体" w:cs="宋体"/>
        </w:rPr>
        <w:t>及</w:t>
      </w:r>
      <w:r>
        <w:rPr>
          <w:rFonts w:hint="eastAsia" w:ascii="宋体" w:hAnsi="宋体" w:cs="宋体"/>
          <w:lang w:eastAsia="zh-TW"/>
        </w:rPr>
        <w:t>有关当事人应当严格遵守保密原则，任何人不得透露与磋商有关的</w:t>
      </w:r>
      <w:r>
        <w:rPr>
          <w:rFonts w:hint="eastAsia" w:ascii="宋体" w:hAnsi="宋体" w:cs="宋体"/>
        </w:rPr>
        <w:t>其他</w:t>
      </w:r>
      <w:r>
        <w:rPr>
          <w:rFonts w:hint="eastAsia" w:ascii="宋体" w:hAnsi="宋体" w:cs="宋体"/>
          <w:lang w:eastAsia="zh-TW"/>
        </w:rPr>
        <w:t>响应供应商的技术</w:t>
      </w:r>
      <w:r>
        <w:rPr>
          <w:rFonts w:hint="eastAsia" w:ascii="宋体" w:hAnsi="宋体" w:cs="宋体"/>
        </w:rPr>
        <w:t>资料</w:t>
      </w:r>
      <w:r>
        <w:rPr>
          <w:rFonts w:hint="eastAsia" w:ascii="宋体" w:hAnsi="宋体" w:cs="宋体"/>
          <w:lang w:eastAsia="zh-TW"/>
        </w:rPr>
        <w:t>、价格和其他信息。</w:t>
      </w:r>
    </w:p>
    <w:p w14:paraId="6CED63AE">
      <w:pPr>
        <w:numPr>
          <w:ilvl w:val="1"/>
          <w:numId w:val="32"/>
        </w:numPr>
        <w:tabs>
          <w:tab w:val="left" w:pos="709"/>
          <w:tab w:val="clear" w:pos="360"/>
        </w:tabs>
        <w:snapToGrid w:val="0"/>
        <w:spacing w:line="360" w:lineRule="auto"/>
        <w:ind w:left="709" w:hanging="709"/>
        <w:rPr>
          <w:rFonts w:ascii="宋体" w:hAnsi="宋体" w:cs="宋体"/>
        </w:rPr>
      </w:pPr>
      <w:r>
        <w:rPr>
          <w:rFonts w:hint="eastAsia" w:ascii="宋体" w:hAnsi="宋体" w:cs="宋体"/>
        </w:rPr>
        <w:t>竞争性磋商文件能够详细列明采购标的的技术、服务要求的，</w:t>
      </w:r>
      <w:r>
        <w:rPr>
          <w:rFonts w:hint="eastAsia" w:ascii="宋体" w:hAnsi="宋体" w:cs="宋体"/>
          <w:lang w:eastAsia="zh-TW"/>
        </w:rPr>
        <w:t>磋商结束后，</w:t>
      </w:r>
      <w:r>
        <w:rPr>
          <w:rFonts w:hint="eastAsia" w:ascii="宋体" w:hAnsi="宋体" w:cs="宋体"/>
        </w:rPr>
        <w:t>磋商小组要求</w:t>
      </w:r>
      <w:r>
        <w:rPr>
          <w:rFonts w:hint="eastAsia" w:ascii="宋体" w:hAnsi="宋体" w:cs="宋体"/>
          <w:lang w:eastAsia="zh-TW"/>
        </w:rPr>
        <w:t>所有作出实质性响应的有效供应商应在规定的时间内提交最</w:t>
      </w:r>
      <w:r>
        <w:rPr>
          <w:rFonts w:hint="eastAsia" w:ascii="宋体" w:hAnsi="宋体" w:cs="宋体"/>
        </w:rPr>
        <w:t>后</w:t>
      </w:r>
      <w:r>
        <w:rPr>
          <w:rFonts w:hint="eastAsia" w:ascii="宋体" w:hAnsi="宋体" w:cs="宋体"/>
          <w:lang w:eastAsia="zh-TW"/>
        </w:rPr>
        <w:t>报价</w:t>
      </w:r>
      <w:r>
        <w:rPr>
          <w:rFonts w:hint="eastAsia" w:ascii="宋体" w:hAnsi="宋体"/>
          <w:kern w:val="2"/>
        </w:rPr>
        <w:t>（最后报价时间视磋商进程由磋商小组决定）</w:t>
      </w:r>
      <w:r>
        <w:rPr>
          <w:rFonts w:hint="eastAsia" w:ascii="宋体" w:hAnsi="宋体" w:cs="宋体"/>
        </w:rPr>
        <w:t>，最后报价是供应商响应文件的有效组成部分。最后报价对所有响应供应商进行公开唱出。</w:t>
      </w:r>
    </w:p>
    <w:p w14:paraId="421ABFCF">
      <w:pPr>
        <w:numPr>
          <w:ilvl w:val="1"/>
          <w:numId w:val="32"/>
        </w:numPr>
        <w:tabs>
          <w:tab w:val="left" w:pos="709"/>
          <w:tab w:val="clear" w:pos="360"/>
        </w:tabs>
        <w:snapToGrid w:val="0"/>
        <w:spacing w:line="360" w:lineRule="auto"/>
        <w:ind w:left="709" w:hanging="709"/>
        <w:rPr>
          <w:rFonts w:ascii="宋体" w:hAnsi="宋体" w:cs="宋体"/>
        </w:rPr>
      </w:pPr>
      <w:r>
        <w:rPr>
          <w:rFonts w:hint="eastAsia" w:ascii="宋体" w:hAnsi="宋体" w:cs="宋体"/>
        </w:rPr>
        <w:t>磋商小组</w:t>
      </w:r>
      <w:r>
        <w:rPr>
          <w:rFonts w:hint="eastAsia" w:ascii="宋体" w:hAnsi="宋体" w:cs="宋体"/>
          <w:lang w:eastAsia="zh-TW"/>
        </w:rPr>
        <w:t>认为</w:t>
      </w:r>
      <w:r>
        <w:rPr>
          <w:rFonts w:hint="eastAsia" w:ascii="宋体" w:hAnsi="宋体" w:cs="宋体"/>
        </w:rPr>
        <w:t>响应供应商</w:t>
      </w:r>
      <w:r>
        <w:rPr>
          <w:rFonts w:hint="eastAsia" w:ascii="宋体" w:hAnsi="宋体" w:cs="宋体"/>
          <w:lang w:eastAsia="zh-TW"/>
        </w:rPr>
        <w:t>的报价明显低于其他通过</w:t>
      </w:r>
      <w:r>
        <w:rPr>
          <w:rFonts w:hint="eastAsia" w:ascii="宋体" w:hAnsi="宋体" w:cs="宋体"/>
        </w:rPr>
        <w:t>资格、</w:t>
      </w:r>
      <w:r>
        <w:rPr>
          <w:rFonts w:hint="eastAsia" w:ascii="宋体" w:hAnsi="宋体" w:cs="宋体"/>
          <w:lang w:eastAsia="zh-TW"/>
        </w:rPr>
        <w:t>符合性审查</w:t>
      </w:r>
      <w:r>
        <w:rPr>
          <w:rFonts w:hint="eastAsia" w:ascii="宋体" w:hAnsi="宋体" w:cs="宋体"/>
        </w:rPr>
        <w:t>响应供应商</w:t>
      </w:r>
      <w:r>
        <w:rPr>
          <w:rFonts w:hint="eastAsia" w:ascii="宋体" w:hAnsi="宋体" w:cs="宋体"/>
          <w:lang w:eastAsia="zh-TW"/>
        </w:rPr>
        <w:t>的报价，有可能影响产品质量或者不能诚信履约的，应当要求其在</w:t>
      </w:r>
      <w:r>
        <w:rPr>
          <w:rFonts w:hint="eastAsia" w:ascii="宋体" w:hAnsi="宋体" w:cs="宋体"/>
        </w:rPr>
        <w:t>磋商</w:t>
      </w:r>
      <w:r>
        <w:rPr>
          <w:rFonts w:hint="eastAsia" w:ascii="宋体" w:hAnsi="宋体" w:cs="宋体"/>
          <w:lang w:eastAsia="zh-TW"/>
        </w:rPr>
        <w:t>现场合理的时间内提供书面说明，必要时提交相关证明材料；</w:t>
      </w:r>
      <w:r>
        <w:rPr>
          <w:rFonts w:hint="eastAsia" w:ascii="宋体" w:hAnsi="宋体" w:cs="宋体"/>
        </w:rPr>
        <w:t>响应供应商</w:t>
      </w:r>
      <w:r>
        <w:rPr>
          <w:rFonts w:hint="eastAsia" w:ascii="宋体" w:hAnsi="宋体" w:cs="宋体"/>
          <w:lang w:eastAsia="zh-TW"/>
        </w:rPr>
        <w:t>不能证明其报价合理性的，</w:t>
      </w:r>
      <w:r>
        <w:rPr>
          <w:rFonts w:hint="eastAsia" w:ascii="宋体" w:hAnsi="宋体" w:cs="宋体"/>
        </w:rPr>
        <w:t>磋商小组</w:t>
      </w:r>
      <w:r>
        <w:rPr>
          <w:rFonts w:hint="eastAsia" w:ascii="宋体" w:hAnsi="宋体" w:cs="宋体"/>
          <w:lang w:eastAsia="zh-TW"/>
        </w:rPr>
        <w:t>应当将其作为无效投标处理。</w:t>
      </w:r>
    </w:p>
    <w:p w14:paraId="23F3BAB6">
      <w:pPr>
        <w:numPr>
          <w:ilvl w:val="1"/>
          <w:numId w:val="32"/>
        </w:numPr>
        <w:snapToGrid w:val="0"/>
        <w:spacing w:line="360" w:lineRule="auto"/>
        <w:rPr>
          <w:rFonts w:ascii="宋体" w:hAnsi="宋体" w:cs="宋体"/>
          <w:lang w:eastAsia="zh-TW"/>
        </w:rPr>
      </w:pPr>
      <w:r>
        <w:rPr>
          <w:rFonts w:hint="eastAsia" w:ascii="宋体" w:hAnsi="宋体" w:cs="宋体"/>
        </w:rPr>
        <w:t>报价</w:t>
      </w:r>
      <w:r>
        <w:rPr>
          <w:rFonts w:hint="eastAsia" w:ascii="宋体" w:hAnsi="宋体" w:cs="宋体"/>
          <w:lang w:eastAsia="zh-TW"/>
        </w:rPr>
        <w:t>修正误差的原则如下：</w:t>
      </w:r>
    </w:p>
    <w:p w14:paraId="6EE3E6FA">
      <w:pPr>
        <w:numPr>
          <w:ilvl w:val="2"/>
          <w:numId w:val="32"/>
        </w:numPr>
        <w:tabs>
          <w:tab w:val="left" w:pos="709"/>
          <w:tab w:val="left" w:pos="851"/>
          <w:tab w:val="clear" w:pos="720"/>
        </w:tabs>
        <w:autoSpaceDE/>
        <w:autoSpaceDN/>
        <w:snapToGrid w:val="0"/>
        <w:spacing w:line="360" w:lineRule="auto"/>
        <w:jc w:val="both"/>
        <w:rPr>
          <w:rFonts w:ascii="宋体" w:hAnsi="宋体" w:cs="Arial"/>
        </w:rPr>
      </w:pPr>
      <w:r>
        <w:rPr>
          <w:rFonts w:hint="eastAsia" w:ascii="宋体" w:hAnsi="宋体"/>
          <w:bCs/>
        </w:rPr>
        <w:t>响应文件中的大写金额和小写金额不一致的，以大写金额为准；</w:t>
      </w:r>
    </w:p>
    <w:p w14:paraId="6F10B263">
      <w:pPr>
        <w:numPr>
          <w:ilvl w:val="2"/>
          <w:numId w:val="32"/>
        </w:numPr>
        <w:tabs>
          <w:tab w:val="left" w:pos="851"/>
        </w:tabs>
        <w:autoSpaceDE/>
        <w:snapToGrid w:val="0"/>
        <w:spacing w:line="360" w:lineRule="auto"/>
        <w:jc w:val="both"/>
        <w:rPr>
          <w:rFonts w:ascii="宋体" w:hAnsi="宋体"/>
          <w:bCs/>
        </w:rPr>
      </w:pPr>
      <w:r>
        <w:rPr>
          <w:rFonts w:hint="eastAsia" w:ascii="宋体" w:hAnsi="宋体" w:cs="宋体"/>
          <w:lang w:eastAsia="zh-TW"/>
        </w:rPr>
        <w:t>单价金额小数点或者百分比有明显错位的，以</w:t>
      </w:r>
      <w:r>
        <w:rPr>
          <w:rFonts w:hint="eastAsia" w:ascii="宋体" w:hAnsi="宋体" w:cs="宋体"/>
        </w:rPr>
        <w:t>报价表</w:t>
      </w:r>
      <w:r>
        <w:rPr>
          <w:rFonts w:hint="eastAsia" w:ascii="宋体" w:hAnsi="宋体" w:cs="宋体"/>
          <w:lang w:eastAsia="zh-TW"/>
        </w:rPr>
        <w:t>的总价为准，并修改单价</w:t>
      </w:r>
      <w:r>
        <w:rPr>
          <w:rFonts w:hint="eastAsia" w:ascii="宋体" w:hAnsi="宋体"/>
          <w:bCs/>
        </w:rPr>
        <w:t>；</w:t>
      </w:r>
    </w:p>
    <w:p w14:paraId="37DFC91F">
      <w:pPr>
        <w:numPr>
          <w:ilvl w:val="2"/>
          <w:numId w:val="32"/>
        </w:numPr>
        <w:tabs>
          <w:tab w:val="left" w:pos="851"/>
        </w:tabs>
        <w:autoSpaceDE/>
        <w:snapToGrid w:val="0"/>
        <w:spacing w:line="360" w:lineRule="auto"/>
        <w:jc w:val="both"/>
        <w:rPr>
          <w:rFonts w:ascii="宋体" w:hAnsi="宋体"/>
          <w:bCs/>
        </w:rPr>
      </w:pPr>
      <w:r>
        <w:rPr>
          <w:rFonts w:hint="eastAsia" w:ascii="宋体" w:hAnsi="宋体" w:cs="宋体"/>
          <w:lang w:eastAsia="zh-TW"/>
        </w:rPr>
        <w:t>总价金额与按单价汇总金额不一致的，以单价金额计算结果为准</w:t>
      </w:r>
    </w:p>
    <w:p w14:paraId="146B2664">
      <w:pPr>
        <w:snapToGrid w:val="0"/>
        <w:spacing w:line="360" w:lineRule="auto"/>
        <w:ind w:left="709"/>
        <w:rPr>
          <w:rFonts w:ascii="宋体" w:hAnsi="宋体" w:cs="宋体"/>
        </w:rPr>
      </w:pPr>
      <w:r>
        <w:rPr>
          <w:rFonts w:hint="eastAsia" w:ascii="宋体" w:hAnsi="宋体" w:cs="宋体"/>
          <w:lang w:eastAsia="zh-TW"/>
        </w:rPr>
        <w:t>同时出现两种以上不一致的，按照前款规定的顺序修正。磋商小组按上述修正误差的原则调整的价格对其响应供应商具有约束力。如果响应供应商不接受修正后的价格，其报价将被拒绝。</w:t>
      </w:r>
    </w:p>
    <w:p w14:paraId="03EB6BFB">
      <w:pPr>
        <w:numPr>
          <w:ilvl w:val="2"/>
          <w:numId w:val="32"/>
        </w:numPr>
        <w:tabs>
          <w:tab w:val="left" w:pos="709"/>
          <w:tab w:val="left" w:pos="851"/>
          <w:tab w:val="clear" w:pos="720"/>
        </w:tabs>
        <w:autoSpaceDE/>
        <w:snapToGrid w:val="0"/>
        <w:spacing w:line="360" w:lineRule="auto"/>
        <w:jc w:val="both"/>
        <w:rPr>
          <w:rFonts w:ascii="宋体" w:hAnsi="宋体"/>
          <w:bCs/>
        </w:rPr>
      </w:pPr>
      <w:r>
        <w:rPr>
          <w:rFonts w:hint="eastAsia" w:ascii="宋体" w:hAnsi="宋体"/>
          <w:bCs/>
        </w:rPr>
        <w:t>对不同文字文本响应文件的解释发生异议的，以中文文本为准；</w:t>
      </w:r>
      <w:r>
        <w:rPr>
          <w:rFonts w:hint="eastAsia" w:ascii="宋体" w:hAnsi="宋体" w:cs="宋体"/>
          <w:lang w:eastAsia="zh-TW"/>
        </w:rPr>
        <w:tab/>
      </w:r>
    </w:p>
    <w:p w14:paraId="4DFC48B5">
      <w:pPr>
        <w:numPr>
          <w:ilvl w:val="1"/>
          <w:numId w:val="32"/>
        </w:numPr>
        <w:tabs>
          <w:tab w:val="left" w:pos="709"/>
          <w:tab w:val="clear" w:pos="360"/>
        </w:tabs>
        <w:snapToGrid w:val="0"/>
        <w:spacing w:line="360" w:lineRule="auto"/>
        <w:ind w:left="709" w:hanging="709"/>
      </w:pPr>
      <w:r>
        <w:rPr>
          <w:rFonts w:hint="eastAsia"/>
        </w:rPr>
        <w:t>评审报告应当由磋商小组全体人员签字认可。磋商小组成员对评审报告有异议的，磋商小组按照少数服从多数的原则推荐成交候选人，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32D4F297">
      <w:pPr>
        <w:numPr>
          <w:ilvl w:val="0"/>
          <w:numId w:val="32"/>
        </w:numPr>
        <w:snapToGrid w:val="0"/>
        <w:spacing w:line="360" w:lineRule="auto"/>
        <w:ind w:left="358" w:hanging="358" w:hangingChars="170"/>
        <w:jc w:val="both"/>
        <w:outlineLvl w:val="2"/>
        <w:rPr>
          <w:rFonts w:ascii="宋体" w:hAnsi="宋体" w:cs="宋体"/>
          <w:b/>
        </w:rPr>
      </w:pPr>
      <w:r>
        <w:rPr>
          <w:rFonts w:hint="eastAsia" w:ascii="宋体" w:hAnsi="宋体" w:cs="宋体"/>
          <w:b/>
        </w:rPr>
        <w:t>终止采购</w:t>
      </w:r>
    </w:p>
    <w:p w14:paraId="093387A0">
      <w:pPr>
        <w:numPr>
          <w:ilvl w:val="1"/>
          <w:numId w:val="32"/>
        </w:numPr>
        <w:snapToGrid w:val="0"/>
        <w:spacing w:line="360" w:lineRule="auto"/>
        <w:jc w:val="both"/>
        <w:outlineLvl w:val="2"/>
        <w:rPr>
          <w:rFonts w:ascii="宋体" w:hAnsi="宋体" w:cs="宋体"/>
        </w:rPr>
      </w:pPr>
      <w:r>
        <w:rPr>
          <w:rFonts w:ascii="宋体" w:hAnsi="宋体" w:cs="宋体"/>
        </w:rPr>
        <w:t>出现下列情形之一的，</w:t>
      </w:r>
      <w:r>
        <w:rPr>
          <w:rFonts w:hint="eastAsia" w:ascii="宋体" w:hAnsi="宋体" w:cs="宋体"/>
        </w:rPr>
        <w:t>招标采购单位终止竞争性磋商采购活动</w:t>
      </w:r>
      <w:r>
        <w:rPr>
          <w:rFonts w:ascii="宋体" w:hAnsi="宋体" w:cs="宋体"/>
        </w:rPr>
        <w:t xml:space="preserve">： </w:t>
      </w:r>
    </w:p>
    <w:p w14:paraId="74EA79C6">
      <w:pPr>
        <w:numPr>
          <w:ilvl w:val="2"/>
          <w:numId w:val="32"/>
        </w:numPr>
        <w:tabs>
          <w:tab w:val="left" w:pos="851"/>
        </w:tabs>
        <w:snapToGrid w:val="0"/>
        <w:spacing w:line="360" w:lineRule="auto"/>
        <w:rPr>
          <w:rFonts w:ascii="宋体" w:hAnsi="宋体" w:cs="宋体"/>
        </w:rPr>
      </w:pPr>
      <w:r>
        <w:rPr>
          <w:rFonts w:hint="eastAsia" w:ascii="宋体" w:hAnsi="宋体" w:cs="宋体"/>
        </w:rPr>
        <w:t>因情况变化，不再符合规定的竞争性磋商采购方式适用情形的；</w:t>
      </w:r>
    </w:p>
    <w:p w14:paraId="3A0AD6D2">
      <w:pPr>
        <w:numPr>
          <w:ilvl w:val="2"/>
          <w:numId w:val="32"/>
        </w:numPr>
        <w:tabs>
          <w:tab w:val="left" w:pos="851"/>
        </w:tabs>
        <w:snapToGrid w:val="0"/>
        <w:spacing w:line="360" w:lineRule="auto"/>
        <w:rPr>
          <w:rFonts w:ascii="宋体" w:hAnsi="宋体" w:cs="宋体"/>
        </w:rPr>
      </w:pPr>
      <w:r>
        <w:rPr>
          <w:rFonts w:hint="eastAsia" w:ascii="宋体" w:hAnsi="宋体" w:cs="宋体"/>
        </w:rPr>
        <w:t>出现影响采购公正的违法、违规行为的；</w:t>
      </w:r>
    </w:p>
    <w:p w14:paraId="157C67A8">
      <w:pPr>
        <w:numPr>
          <w:ilvl w:val="2"/>
          <w:numId w:val="32"/>
        </w:numPr>
        <w:tabs>
          <w:tab w:val="left" w:pos="851"/>
        </w:tabs>
        <w:snapToGrid w:val="0"/>
        <w:spacing w:line="360" w:lineRule="auto"/>
        <w:rPr>
          <w:rFonts w:ascii="宋体" w:hAnsi="宋体" w:cs="宋体"/>
        </w:rPr>
      </w:pPr>
      <w:r>
        <w:rPr>
          <w:rFonts w:hint="eastAsia" w:ascii="宋体" w:hAnsi="宋体" w:cs="宋体"/>
        </w:rPr>
        <w:t>除法律法规规定的情形外，在采购过程中符合要求的供应商或者报价未超过采购预算的供应商不足3家的。</w:t>
      </w:r>
    </w:p>
    <w:p w14:paraId="624D6F80">
      <w:pPr>
        <w:numPr>
          <w:ilvl w:val="0"/>
          <w:numId w:val="32"/>
        </w:numPr>
        <w:snapToGrid w:val="0"/>
        <w:spacing w:line="360" w:lineRule="auto"/>
        <w:ind w:left="358" w:hanging="358" w:hangingChars="170"/>
        <w:jc w:val="both"/>
        <w:outlineLvl w:val="2"/>
        <w:rPr>
          <w:rFonts w:ascii="宋体" w:hAnsi="宋体"/>
          <w:b/>
          <w:bCs/>
        </w:rPr>
      </w:pPr>
      <w:bookmarkStart w:id="225" w:name="_Toc434343677"/>
      <w:r>
        <w:rPr>
          <w:rFonts w:ascii="宋体" w:hAnsi="宋体"/>
          <w:b/>
          <w:bCs/>
        </w:rPr>
        <w:t>评审方法</w:t>
      </w:r>
      <w:r>
        <w:rPr>
          <w:rFonts w:hint="eastAsia" w:ascii="宋体" w:hAnsi="宋体"/>
          <w:b/>
          <w:bCs/>
        </w:rPr>
        <w:t>和标准</w:t>
      </w:r>
      <w:bookmarkEnd w:id="225"/>
    </w:p>
    <w:p w14:paraId="0265B74A">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磋商小组将按照</w:t>
      </w:r>
      <w:r>
        <w:rPr>
          <w:rFonts w:hint="eastAsia" w:ascii="宋体" w:hAnsi="宋体"/>
          <w:b/>
        </w:rPr>
        <w:t>磋商</w:t>
      </w:r>
      <w:r>
        <w:rPr>
          <w:rFonts w:hint="eastAsia" w:ascii="宋体" w:hAnsi="宋体" w:cs="宋体"/>
          <w:b/>
          <w:lang w:eastAsia="zh-TW"/>
        </w:rPr>
        <w:t>资料表</w:t>
      </w:r>
      <w:r>
        <w:rPr>
          <w:rFonts w:hint="eastAsia" w:ascii="宋体" w:hAnsi="宋体" w:cs="宋体"/>
          <w:lang w:eastAsia="zh-TW"/>
        </w:rPr>
        <w:t>中确定的评审方法</w:t>
      </w:r>
      <w:r>
        <w:rPr>
          <w:rFonts w:hint="eastAsia" w:ascii="宋体" w:hAnsi="宋体" w:cs="宋体"/>
        </w:rPr>
        <w:t>和</w:t>
      </w:r>
      <w:r>
        <w:rPr>
          <w:rFonts w:hint="eastAsia" w:ascii="宋体" w:hAnsi="宋体" w:cs="宋体"/>
          <w:lang w:eastAsia="zh-TW"/>
        </w:rPr>
        <w:t>本竞争性磋商文件第</w:t>
      </w:r>
      <w:r>
        <w:rPr>
          <w:rFonts w:hint="eastAsia" w:ascii="宋体" w:hAnsi="宋体" w:cs="宋体"/>
        </w:rPr>
        <w:t>三</w:t>
      </w:r>
      <w:r>
        <w:rPr>
          <w:rFonts w:hint="eastAsia" w:ascii="宋体" w:hAnsi="宋体" w:cs="宋体"/>
          <w:lang w:eastAsia="zh-TW"/>
        </w:rPr>
        <w:t>章中</w:t>
      </w:r>
      <w:r>
        <w:rPr>
          <w:rFonts w:hint="eastAsia" w:ascii="宋体" w:hAnsi="宋体" w:cs="宋体"/>
        </w:rPr>
        <w:t>的评审标准</w:t>
      </w:r>
      <w:r>
        <w:rPr>
          <w:rFonts w:hint="eastAsia" w:ascii="宋体" w:hAnsi="宋体" w:cs="宋体"/>
          <w:lang w:eastAsia="zh-TW"/>
        </w:rPr>
        <w:t>进行评审。</w:t>
      </w:r>
    </w:p>
    <w:p w14:paraId="7065756A">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除</w:t>
      </w:r>
      <w:r>
        <w:rPr>
          <w:rFonts w:hint="eastAsia" w:ascii="宋体" w:hAnsi="宋体"/>
          <w:b/>
        </w:rPr>
        <w:t>磋商资料表</w:t>
      </w:r>
      <w:r>
        <w:rPr>
          <w:rFonts w:hint="eastAsia" w:ascii="宋体" w:hAnsi="宋体"/>
        </w:rPr>
        <w:t>另有规定的，</w:t>
      </w:r>
      <w:r>
        <w:rPr>
          <w:rFonts w:hint="eastAsia" w:ascii="宋体" w:hAnsi="宋体" w:cs="宋体"/>
          <w:lang w:eastAsia="zh-TW"/>
        </w:rPr>
        <w:t>磋商小组</w:t>
      </w:r>
      <w:r>
        <w:rPr>
          <w:rFonts w:hint="eastAsia" w:ascii="宋体" w:hAnsi="宋体" w:cs="宋体"/>
        </w:rPr>
        <w:t>根据综合评分情况</w:t>
      </w:r>
      <w:r>
        <w:rPr>
          <w:rFonts w:hint="eastAsia" w:ascii="宋体" w:hAnsi="宋体"/>
        </w:rPr>
        <w:t>按照评审得分由高到低推荐3名成交候选人。评审总得分相同的，按下列顺序比较确定：（1）投标报价（由低到高）；（2）技术部分（或技术商务部分）得分（由高到低）；（3）技术部分（或技术商务部分）评审项目中分值权重占技术部分（或技术商务部分）总分值权重由高到低的次序（得分由高到低）。除</w:t>
      </w:r>
      <w:r>
        <w:rPr>
          <w:rFonts w:hint="eastAsia" w:ascii="宋体" w:hAnsi="宋体"/>
          <w:b/>
        </w:rPr>
        <w:t>磋商资料表</w:t>
      </w:r>
      <w:r>
        <w:rPr>
          <w:rFonts w:hint="eastAsia" w:ascii="宋体" w:hAnsi="宋体"/>
        </w:rPr>
        <w:t>另有规定的，推荐综合得分排名第一的</w:t>
      </w:r>
      <w:r>
        <w:rPr>
          <w:rFonts w:hint="eastAsia" w:ascii="宋体" w:hAnsi="宋体"/>
          <w:bCs/>
        </w:rPr>
        <w:t>响应供应商</w:t>
      </w:r>
      <w:r>
        <w:rPr>
          <w:rFonts w:hint="eastAsia" w:ascii="宋体" w:hAnsi="宋体"/>
        </w:rPr>
        <w:t>为第一中标候选人，排名第二的</w:t>
      </w:r>
      <w:r>
        <w:rPr>
          <w:rFonts w:hint="eastAsia" w:ascii="宋体" w:hAnsi="宋体"/>
          <w:bCs/>
        </w:rPr>
        <w:t>响应供应商</w:t>
      </w:r>
      <w:r>
        <w:rPr>
          <w:rFonts w:hint="eastAsia" w:ascii="宋体" w:hAnsi="宋体"/>
        </w:rPr>
        <w:t>为第二中标候选人，排名第三的</w:t>
      </w:r>
      <w:r>
        <w:rPr>
          <w:rFonts w:hint="eastAsia" w:ascii="宋体" w:hAnsi="宋体"/>
          <w:bCs/>
        </w:rPr>
        <w:t>响应供应商</w:t>
      </w:r>
      <w:r>
        <w:rPr>
          <w:rFonts w:hint="eastAsia" w:ascii="宋体" w:hAnsi="宋体"/>
        </w:rPr>
        <w:t>为第三中标候选人。</w:t>
      </w:r>
    </w:p>
    <w:p w14:paraId="4CB05DAD">
      <w:pPr>
        <w:snapToGrid w:val="0"/>
        <w:spacing w:line="360" w:lineRule="auto"/>
        <w:ind w:left="709"/>
        <w:jc w:val="center"/>
        <w:rPr>
          <w:rFonts w:ascii="宋体" w:hAnsi="宋体"/>
          <w:b/>
        </w:rPr>
      </w:pPr>
      <w:r>
        <w:rPr>
          <w:rFonts w:hint="eastAsia" w:ascii="宋体" w:hAnsi="宋体"/>
          <w:b/>
          <w:sz w:val="28"/>
          <w:szCs w:val="28"/>
        </w:rPr>
        <w:t>六</w:t>
      </w:r>
      <w:r>
        <w:rPr>
          <w:rFonts w:hint="eastAsia" w:ascii="宋体" w:hAnsi="宋体"/>
          <w:b/>
          <w:sz w:val="28"/>
          <w:szCs w:val="28"/>
          <w:lang w:eastAsia="zh-TW"/>
        </w:rPr>
        <w:t>、</w:t>
      </w:r>
      <w:r>
        <w:rPr>
          <w:rFonts w:hint="eastAsia" w:ascii="宋体" w:hAnsi="宋体"/>
          <w:b/>
          <w:sz w:val="28"/>
          <w:szCs w:val="28"/>
        </w:rPr>
        <w:t>成交结果</w:t>
      </w:r>
    </w:p>
    <w:p w14:paraId="4D1AB147">
      <w:pPr>
        <w:numPr>
          <w:ilvl w:val="0"/>
          <w:numId w:val="32"/>
        </w:numPr>
        <w:snapToGrid w:val="0"/>
        <w:spacing w:line="360" w:lineRule="auto"/>
        <w:ind w:left="358" w:hanging="358" w:hangingChars="170"/>
        <w:jc w:val="both"/>
        <w:outlineLvl w:val="2"/>
        <w:rPr>
          <w:rFonts w:ascii="宋体" w:hAnsi="宋体"/>
          <w:b/>
          <w:bCs/>
        </w:rPr>
      </w:pPr>
      <w:bookmarkStart w:id="226" w:name="_Toc416771350"/>
      <w:bookmarkStart w:id="227" w:name="_Toc416770240"/>
      <w:bookmarkStart w:id="228" w:name="_Toc378586986"/>
      <w:bookmarkStart w:id="229" w:name="_Toc410738964"/>
      <w:bookmarkStart w:id="230" w:name="_Toc410736164"/>
      <w:r>
        <w:rPr>
          <w:rFonts w:hint="eastAsia" w:ascii="宋体" w:hAnsi="宋体"/>
          <w:b/>
          <w:bCs/>
        </w:rPr>
        <w:t>确定成交结果</w:t>
      </w:r>
      <w:bookmarkEnd w:id="226"/>
      <w:bookmarkEnd w:id="227"/>
      <w:bookmarkEnd w:id="228"/>
      <w:bookmarkEnd w:id="229"/>
      <w:bookmarkEnd w:id="230"/>
    </w:p>
    <w:p w14:paraId="775099AB">
      <w:pPr>
        <w:numPr>
          <w:ilvl w:val="1"/>
          <w:numId w:val="32"/>
        </w:numPr>
        <w:tabs>
          <w:tab w:val="left" w:pos="709"/>
          <w:tab w:val="clear" w:pos="360"/>
        </w:tabs>
        <w:snapToGrid w:val="0"/>
        <w:spacing w:line="360" w:lineRule="auto"/>
        <w:ind w:left="709" w:hanging="709"/>
        <w:rPr>
          <w:rFonts w:ascii="宋体" w:hAnsi="宋体"/>
        </w:rPr>
      </w:pPr>
      <w:r>
        <w:rPr>
          <w:rFonts w:ascii="宋体" w:hAnsi="宋体" w:cs="宋体"/>
          <w:lang w:eastAsia="zh-TW"/>
        </w:rPr>
        <w:t>磋商小组提</w:t>
      </w:r>
      <w:r>
        <w:rPr>
          <w:rFonts w:hint="eastAsia" w:ascii="宋体" w:hAnsi="宋体" w:cs="宋体"/>
          <w:lang w:eastAsia="zh-TW"/>
        </w:rPr>
        <w:t>交</w:t>
      </w:r>
      <w:r>
        <w:rPr>
          <w:rFonts w:ascii="宋体" w:hAnsi="宋体" w:cs="宋体"/>
          <w:lang w:eastAsia="zh-TW"/>
        </w:rPr>
        <w:t>评审报告和推荐成交意见报</w:t>
      </w:r>
      <w:r>
        <w:rPr>
          <w:rFonts w:hint="eastAsia" w:ascii="宋体" w:hAnsi="宋体" w:cs="宋体"/>
          <w:lang w:eastAsia="zh-TW"/>
        </w:rPr>
        <w:t>采购</w:t>
      </w:r>
      <w:r>
        <w:rPr>
          <w:rFonts w:ascii="宋体" w:hAnsi="宋体" w:cs="宋体"/>
          <w:lang w:eastAsia="zh-TW"/>
        </w:rPr>
        <w:t>人</w:t>
      </w:r>
      <w:r>
        <w:rPr>
          <w:rFonts w:hint="eastAsia" w:ascii="宋体" w:hAnsi="宋体" w:cs="宋体"/>
          <w:lang w:eastAsia="zh-TW"/>
        </w:rPr>
        <w:t>确认</w:t>
      </w:r>
      <w:r>
        <w:rPr>
          <w:rFonts w:hint="eastAsia" w:ascii="宋体" w:hAnsi="宋体"/>
        </w:rPr>
        <w:t>，采购人在收到评审报告后在规定时间内，按照评审报告中推荐的成交候选人顺序确定成交供应商，也可以事先授权磋商小组直接确定成交供应商。</w:t>
      </w:r>
    </w:p>
    <w:p w14:paraId="005A2E7C">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成交供应商确定后，采购代理机构将</w:t>
      </w:r>
      <w:r>
        <w:rPr>
          <w:rFonts w:hint="eastAsia" w:ascii="宋体" w:hAnsi="宋体" w:cs="宋体"/>
        </w:rPr>
        <w:t>发布采购信息公告的媒体</w:t>
      </w:r>
      <w:r>
        <w:rPr>
          <w:rFonts w:hint="eastAsia" w:ascii="宋体" w:hAnsi="宋体" w:cs="宋体"/>
          <w:lang w:eastAsia="zh-TW"/>
        </w:rPr>
        <w:t>上</w:t>
      </w:r>
      <w:r>
        <w:rPr>
          <w:rFonts w:ascii="宋体" w:hAnsi="宋体"/>
        </w:rPr>
        <w:t>发</w:t>
      </w:r>
      <w:r>
        <w:rPr>
          <w:rFonts w:hint="eastAsia" w:ascii="宋体" w:hAnsi="宋体"/>
        </w:rPr>
        <w:t>布成交结果公告。采购代理机构不再以其他方式另行通知。</w:t>
      </w:r>
    </w:p>
    <w:p w14:paraId="39A8180B">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发布成交结果公告同时向</w:t>
      </w:r>
      <w:r>
        <w:rPr>
          <w:rFonts w:hint="eastAsia" w:ascii="宋体" w:hAnsi="宋体" w:cs="宋体"/>
        </w:rPr>
        <w:t>成交供应商</w:t>
      </w:r>
      <w:r>
        <w:rPr>
          <w:rFonts w:hint="eastAsia" w:ascii="宋体" w:hAnsi="宋体"/>
        </w:rPr>
        <w:t>发出《成交通知书》，向采购人及未成交供应商发出《成交结果通知书》，《成交通知书》对</w:t>
      </w:r>
      <w:r>
        <w:rPr>
          <w:rFonts w:hint="eastAsia" w:ascii="宋体" w:hAnsi="宋体" w:cs="宋体"/>
        </w:rPr>
        <w:t>成交供应商</w:t>
      </w:r>
      <w:r>
        <w:rPr>
          <w:rFonts w:hint="eastAsia" w:ascii="宋体" w:hAnsi="宋体"/>
        </w:rPr>
        <w:t>和采购人具有同等法律效力。</w:t>
      </w:r>
    </w:p>
    <w:p w14:paraId="25496F62">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《成交通知书》将作为授予合同资格的合法依据，是合同的一个组成部分。</w:t>
      </w:r>
    </w:p>
    <w:p w14:paraId="6A0662C6">
      <w:pPr>
        <w:snapToGrid w:val="0"/>
        <w:spacing w:line="360" w:lineRule="auto"/>
        <w:ind w:left="709"/>
        <w:jc w:val="center"/>
        <w:rPr>
          <w:rFonts w:ascii="宋体" w:hAnsi="宋体"/>
        </w:rPr>
      </w:pPr>
      <w:r>
        <w:rPr>
          <w:rFonts w:hint="eastAsia" w:ascii="宋体" w:hAnsi="宋体"/>
          <w:b/>
          <w:sz w:val="28"/>
          <w:szCs w:val="28"/>
        </w:rPr>
        <w:t>七</w:t>
      </w:r>
      <w:r>
        <w:rPr>
          <w:rFonts w:hint="eastAsia" w:ascii="宋体" w:hAnsi="宋体"/>
          <w:b/>
          <w:sz w:val="28"/>
          <w:szCs w:val="28"/>
          <w:lang w:eastAsia="zh-TW"/>
        </w:rPr>
        <w:t>、询问、质疑、投诉</w:t>
      </w:r>
    </w:p>
    <w:p w14:paraId="74972D00">
      <w:pPr>
        <w:numPr>
          <w:ilvl w:val="0"/>
          <w:numId w:val="32"/>
        </w:numPr>
        <w:snapToGrid w:val="0"/>
        <w:spacing w:line="360" w:lineRule="auto"/>
        <w:ind w:left="358" w:hanging="358" w:hangingChars="170"/>
        <w:jc w:val="both"/>
        <w:outlineLvl w:val="2"/>
        <w:rPr>
          <w:rFonts w:ascii="宋体" w:hAnsi="宋体" w:cs="黑体"/>
          <w:b/>
          <w:bCs/>
        </w:rPr>
      </w:pPr>
      <w:bookmarkStart w:id="231" w:name="_Toc410736166"/>
      <w:bookmarkStart w:id="232" w:name="_Toc416771352"/>
      <w:bookmarkStart w:id="233" w:name="_Toc410738966"/>
      <w:bookmarkStart w:id="234" w:name="_Toc416770242"/>
      <w:r>
        <w:rPr>
          <w:rFonts w:hint="eastAsia" w:ascii="宋体" w:hAnsi="宋体" w:cs="黑体"/>
          <w:b/>
          <w:bCs/>
        </w:rPr>
        <w:t>询问</w:t>
      </w:r>
    </w:p>
    <w:p w14:paraId="379C72C5">
      <w:pPr>
        <w:numPr>
          <w:ilvl w:val="1"/>
          <w:numId w:val="32"/>
        </w:numPr>
        <w:tabs>
          <w:tab w:val="left" w:pos="709"/>
          <w:tab w:val="clear" w:pos="360"/>
        </w:tabs>
        <w:snapToGrid w:val="0"/>
        <w:spacing w:line="360" w:lineRule="auto"/>
        <w:ind w:left="709" w:hanging="709"/>
        <w:jc w:val="both"/>
        <w:outlineLvl w:val="2"/>
        <w:rPr>
          <w:rFonts w:ascii="宋体" w:hAnsi="宋体" w:cs="黑体"/>
          <w:bCs/>
        </w:rPr>
      </w:pPr>
      <w:r>
        <w:rPr>
          <w:rFonts w:hint="eastAsia" w:ascii="宋体" w:hAnsi="宋体" w:cs="黑体"/>
          <w:bCs/>
        </w:rPr>
        <w:t>供应商对政府采购活动事项有疑问的，可以向招标采购单位提出询问，询问可以口头方式提出，也可以书面方式提出。</w:t>
      </w:r>
    </w:p>
    <w:p w14:paraId="185040C1">
      <w:pPr>
        <w:numPr>
          <w:ilvl w:val="1"/>
          <w:numId w:val="32"/>
        </w:numPr>
        <w:tabs>
          <w:tab w:val="left" w:pos="709"/>
          <w:tab w:val="clear" w:pos="360"/>
        </w:tabs>
        <w:snapToGrid w:val="0"/>
        <w:spacing w:line="360" w:lineRule="auto"/>
        <w:ind w:left="709" w:hanging="709"/>
        <w:jc w:val="both"/>
        <w:outlineLvl w:val="2"/>
        <w:rPr>
          <w:rFonts w:ascii="宋体" w:hAnsi="宋体" w:cs="黑体"/>
          <w:bCs/>
        </w:rPr>
      </w:pPr>
      <w:r>
        <w:rPr>
          <w:rFonts w:hint="eastAsia" w:ascii="宋体" w:hAnsi="宋体" w:cs="黑体"/>
          <w:bCs/>
        </w:rPr>
        <w:t>如采用书面方式提出询问，供应商为自然人的，询问函应当由本人签字；供应商为法人或者其他组织的，应当由法定代表人、主要负责人或授权代表签字或者盖章，并加盖公章。响应供应商递交询问函时非法定代表人亲自办理的需提供法定代表人授权委托书（应载明授权代表的姓名或者名称、代理事项、具体权限、期限和相关事项）及授权代表身份证复印件</w:t>
      </w:r>
    </w:p>
    <w:p w14:paraId="245A9FFF">
      <w:pPr>
        <w:numPr>
          <w:ilvl w:val="1"/>
          <w:numId w:val="32"/>
        </w:numPr>
        <w:tabs>
          <w:tab w:val="left" w:pos="709"/>
        </w:tabs>
        <w:snapToGrid w:val="0"/>
        <w:spacing w:line="360" w:lineRule="auto"/>
        <w:jc w:val="both"/>
        <w:outlineLvl w:val="2"/>
        <w:rPr>
          <w:rFonts w:ascii="宋体" w:hAnsi="宋体" w:cs="黑体"/>
          <w:bCs/>
        </w:rPr>
      </w:pPr>
      <w:r>
        <w:rPr>
          <w:rFonts w:hint="eastAsia" w:ascii="宋体" w:hAnsi="宋体" w:cs="黑体"/>
          <w:bCs/>
        </w:rPr>
        <w:t>招标采购单位在三个工作日内对供应商依法提出的询问作出答复。</w:t>
      </w:r>
    </w:p>
    <w:p w14:paraId="5507CD0C">
      <w:pPr>
        <w:numPr>
          <w:ilvl w:val="0"/>
          <w:numId w:val="32"/>
        </w:numPr>
        <w:snapToGrid w:val="0"/>
        <w:spacing w:line="360" w:lineRule="auto"/>
        <w:ind w:left="358" w:hanging="358" w:hangingChars="170"/>
        <w:jc w:val="both"/>
        <w:outlineLvl w:val="2"/>
        <w:rPr>
          <w:rFonts w:ascii="宋体" w:hAnsi="宋体" w:cs="黑体"/>
          <w:b/>
          <w:bCs/>
        </w:rPr>
      </w:pPr>
      <w:r>
        <w:rPr>
          <w:rFonts w:hint="eastAsia" w:ascii="宋体" w:hAnsi="宋体" w:cs="黑体"/>
          <w:b/>
          <w:bCs/>
        </w:rPr>
        <w:t>质疑</w:t>
      </w:r>
    </w:p>
    <w:p w14:paraId="5454657A">
      <w:pPr>
        <w:numPr>
          <w:ilvl w:val="1"/>
          <w:numId w:val="32"/>
        </w:numPr>
        <w:snapToGrid w:val="0"/>
        <w:spacing w:line="360" w:lineRule="auto"/>
        <w:jc w:val="both"/>
        <w:outlineLvl w:val="2"/>
        <w:rPr>
          <w:rFonts w:ascii="宋体" w:hAnsi="宋体" w:cs="黑体"/>
          <w:bCs/>
        </w:rPr>
      </w:pPr>
      <w:r>
        <w:rPr>
          <w:rFonts w:hint="eastAsia" w:ascii="宋体" w:hAnsi="宋体" w:cs="黑体"/>
          <w:bCs/>
        </w:rPr>
        <w:t>质疑期限：</w:t>
      </w:r>
    </w:p>
    <w:p w14:paraId="466AE303">
      <w:pPr>
        <w:numPr>
          <w:ilvl w:val="2"/>
          <w:numId w:val="32"/>
        </w:numPr>
        <w:tabs>
          <w:tab w:val="left" w:pos="709"/>
          <w:tab w:val="clear" w:pos="720"/>
        </w:tabs>
        <w:snapToGrid w:val="0"/>
        <w:spacing w:line="360" w:lineRule="auto"/>
        <w:jc w:val="both"/>
        <w:rPr>
          <w:rFonts w:ascii="宋体" w:hAnsi="宋体" w:cs="黑体"/>
          <w:bCs/>
        </w:rPr>
      </w:pPr>
      <w:r>
        <w:rPr>
          <w:rFonts w:hint="eastAsia" w:ascii="宋体" w:hAnsi="宋体" w:cs="黑体"/>
          <w:bCs/>
        </w:rPr>
        <w:t>供应商认为</w:t>
      </w:r>
      <w:r>
        <w:rPr>
          <w:rFonts w:hint="eastAsia" w:ascii="宋体" w:hAnsi="宋体" w:cs="黑体"/>
          <w:bCs/>
          <w:u w:val="double"/>
        </w:rPr>
        <w:t>竞争性磋商文件的内容</w:t>
      </w:r>
      <w:r>
        <w:rPr>
          <w:rFonts w:hint="eastAsia" w:ascii="宋体" w:hAnsi="宋体" w:cs="黑体"/>
          <w:bCs/>
        </w:rPr>
        <w:t>损害其权益的，应在收到竞争性磋商文件之日或者竞争性磋商文件公告期届满之日起七个工作日内。（注：供应商购买采购文件之日早于采购文件公告期限届满之日的，则以供应商购买采购文件之日为质疑时效期间的起算日期；否则，以采购文件公告期限届满之日为质疑时效期间的起算日期）</w:t>
      </w:r>
    </w:p>
    <w:p w14:paraId="5F6FDBAE">
      <w:pPr>
        <w:numPr>
          <w:ilvl w:val="2"/>
          <w:numId w:val="32"/>
        </w:numPr>
        <w:tabs>
          <w:tab w:val="left" w:pos="709"/>
          <w:tab w:val="clear" w:pos="720"/>
        </w:tabs>
        <w:snapToGrid w:val="0"/>
        <w:spacing w:line="360" w:lineRule="auto"/>
        <w:jc w:val="both"/>
        <w:rPr>
          <w:rFonts w:ascii="宋体" w:hAnsi="宋体" w:cs="黑体"/>
          <w:bCs/>
        </w:rPr>
      </w:pPr>
      <w:r>
        <w:rPr>
          <w:rFonts w:hint="eastAsia" w:ascii="宋体" w:hAnsi="宋体" w:cs="黑体"/>
          <w:bCs/>
        </w:rPr>
        <w:t>供应商认为</w:t>
      </w:r>
      <w:r>
        <w:rPr>
          <w:rFonts w:hint="eastAsia" w:ascii="宋体" w:hAnsi="宋体" w:cs="黑体"/>
          <w:bCs/>
          <w:u w:val="double"/>
        </w:rPr>
        <w:t>采购过程</w:t>
      </w:r>
      <w:r>
        <w:rPr>
          <w:rFonts w:hint="eastAsia" w:ascii="宋体" w:hAnsi="宋体" w:cs="黑体"/>
          <w:bCs/>
        </w:rPr>
        <w:t>损害其权益的，应在各采购程序环节结束之日起七个工作日内。</w:t>
      </w:r>
    </w:p>
    <w:p w14:paraId="4152A78C">
      <w:pPr>
        <w:numPr>
          <w:ilvl w:val="2"/>
          <w:numId w:val="32"/>
        </w:numPr>
        <w:tabs>
          <w:tab w:val="left" w:pos="709"/>
          <w:tab w:val="clear" w:pos="720"/>
        </w:tabs>
        <w:snapToGrid w:val="0"/>
        <w:spacing w:line="360" w:lineRule="auto"/>
        <w:jc w:val="both"/>
        <w:rPr>
          <w:rFonts w:ascii="宋体" w:hAnsi="宋体" w:cs="黑体"/>
          <w:bCs/>
        </w:rPr>
      </w:pPr>
      <w:r>
        <w:rPr>
          <w:rFonts w:hint="eastAsia" w:ascii="宋体" w:hAnsi="宋体" w:cs="黑体"/>
          <w:bCs/>
        </w:rPr>
        <w:t>供应商认为</w:t>
      </w:r>
      <w:r>
        <w:rPr>
          <w:rFonts w:hint="eastAsia" w:ascii="宋体" w:hAnsi="宋体" w:cs="黑体"/>
          <w:bCs/>
          <w:u w:val="double"/>
        </w:rPr>
        <w:t>中标或者成交结果</w:t>
      </w:r>
      <w:r>
        <w:rPr>
          <w:rFonts w:hint="eastAsia" w:ascii="宋体" w:hAnsi="宋体" w:cs="黑体"/>
          <w:bCs/>
        </w:rPr>
        <w:t>损害其权益的，应在中标或者成交结果公告期限届满之日起七个工作日内。</w:t>
      </w:r>
    </w:p>
    <w:p w14:paraId="5BB5772D">
      <w:pPr>
        <w:numPr>
          <w:ilvl w:val="1"/>
          <w:numId w:val="32"/>
        </w:numPr>
        <w:snapToGrid w:val="0"/>
        <w:spacing w:line="360" w:lineRule="auto"/>
        <w:jc w:val="both"/>
        <w:outlineLvl w:val="2"/>
        <w:rPr>
          <w:rFonts w:ascii="宋体" w:hAnsi="宋体" w:cs="黑体"/>
          <w:bCs/>
        </w:rPr>
      </w:pPr>
      <w:r>
        <w:rPr>
          <w:rFonts w:hint="eastAsia" w:ascii="宋体" w:hAnsi="宋体" w:cs="黑体"/>
          <w:bCs/>
        </w:rPr>
        <w:t>提交要求：</w:t>
      </w:r>
    </w:p>
    <w:p w14:paraId="0884B9A1">
      <w:pPr>
        <w:numPr>
          <w:ilvl w:val="2"/>
          <w:numId w:val="32"/>
        </w:numPr>
        <w:snapToGrid w:val="0"/>
        <w:spacing w:line="360" w:lineRule="auto"/>
        <w:jc w:val="both"/>
        <w:outlineLvl w:val="2"/>
        <w:rPr>
          <w:rFonts w:ascii="宋体" w:hAnsi="宋体" w:cs="黑体"/>
          <w:bCs/>
        </w:rPr>
      </w:pPr>
      <w:r>
        <w:rPr>
          <w:rFonts w:hint="eastAsia" w:ascii="宋体" w:hAnsi="宋体" w:cs="黑体"/>
          <w:bCs/>
        </w:rPr>
        <w:t>以书面形式</w:t>
      </w:r>
      <w:r>
        <w:rPr>
          <w:rFonts w:hint="eastAsia" w:ascii="宋体" w:hAnsi="宋体" w:cs="黑体"/>
          <w:b/>
          <w:bCs/>
        </w:rPr>
        <w:t>（原件）</w:t>
      </w:r>
      <w:r>
        <w:rPr>
          <w:rFonts w:hint="eastAsia" w:ascii="宋体" w:hAnsi="宋体" w:cs="黑体"/>
          <w:bCs/>
        </w:rPr>
        <w:t>向采购人或者采购代理机构</w:t>
      </w:r>
      <w:r>
        <w:rPr>
          <w:rFonts w:hint="eastAsia" w:ascii="宋体" w:hAnsi="宋体" w:cs="宋体"/>
        </w:rPr>
        <w:t>一次性提出针对同一采购程序环节的</w:t>
      </w:r>
      <w:r>
        <w:rPr>
          <w:rFonts w:hint="eastAsia" w:ascii="宋体" w:hAnsi="宋体" w:cs="黑体"/>
          <w:bCs/>
        </w:rPr>
        <w:t>质疑</w:t>
      </w:r>
      <w:r>
        <w:rPr>
          <w:rFonts w:hint="eastAsia" w:ascii="宋体" w:hAnsi="宋体"/>
        </w:rPr>
        <w:t>。</w:t>
      </w:r>
    </w:p>
    <w:p w14:paraId="336ABB3F">
      <w:pPr>
        <w:numPr>
          <w:ilvl w:val="2"/>
          <w:numId w:val="32"/>
        </w:numPr>
        <w:snapToGrid w:val="0"/>
        <w:spacing w:line="360" w:lineRule="auto"/>
        <w:jc w:val="both"/>
        <w:outlineLvl w:val="2"/>
        <w:rPr>
          <w:rFonts w:ascii="宋体" w:hAnsi="宋体" w:cs="黑体"/>
          <w:bCs/>
        </w:rPr>
      </w:pPr>
      <w:r>
        <w:rPr>
          <w:rFonts w:hint="eastAsia" w:ascii="宋体" w:hAnsi="宋体" w:cs="黑体"/>
          <w:bCs/>
        </w:rPr>
        <w:t>以联合体形式参加政府采购活动的，其质疑应当由组成联合体的所有供应商共同提出。</w:t>
      </w:r>
    </w:p>
    <w:p w14:paraId="5F17F0F3">
      <w:pPr>
        <w:numPr>
          <w:ilvl w:val="2"/>
          <w:numId w:val="32"/>
        </w:numPr>
        <w:snapToGrid w:val="0"/>
        <w:spacing w:line="360" w:lineRule="auto"/>
        <w:jc w:val="both"/>
        <w:outlineLvl w:val="2"/>
        <w:rPr>
          <w:rFonts w:ascii="宋体" w:hAnsi="宋体" w:cs="黑体"/>
          <w:bCs/>
        </w:rPr>
      </w:pPr>
      <w:r>
        <w:rPr>
          <w:rFonts w:hint="eastAsia" w:ascii="宋体" w:hAnsi="宋体" w:cs="黑体"/>
          <w:bCs/>
        </w:rPr>
        <w:t>质疑函内容：应包括供应商的姓名或者名称、地址、邮编、联系人及联系电话、质疑项目的名称及编号、具体且明确的质疑事项和与质疑事项相关的请求、事实依据、必要的法律依据、提出质疑的日期。供应商为自然人的，质疑函应当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r>
        <w:rPr>
          <w:rFonts w:hint="eastAsia" w:ascii="宋体" w:hAnsi="宋体" w:cs="宋体"/>
          <w:lang w:eastAsia="zh-TW"/>
        </w:rPr>
        <w:t>。 </w:t>
      </w:r>
    </w:p>
    <w:p w14:paraId="35C12AAD">
      <w:pPr>
        <w:numPr>
          <w:ilvl w:val="2"/>
          <w:numId w:val="32"/>
        </w:numPr>
        <w:snapToGrid w:val="0"/>
        <w:spacing w:line="360" w:lineRule="auto"/>
        <w:jc w:val="both"/>
        <w:outlineLvl w:val="2"/>
        <w:rPr>
          <w:rFonts w:ascii="宋体" w:hAnsi="宋体" w:cs="黑体"/>
          <w:bCs/>
        </w:rPr>
      </w:pPr>
      <w:r>
        <w:rPr>
          <w:rFonts w:hint="eastAsia" w:ascii="宋体" w:hAnsi="宋体" w:cs="黑体"/>
          <w:bCs/>
        </w:rPr>
        <w:t>供应商捏造事实、提供虚假材料或者以非法手段取得证明材料不能作为质疑的证明材料。</w:t>
      </w:r>
    </w:p>
    <w:p w14:paraId="0756D9A7">
      <w:pPr>
        <w:numPr>
          <w:ilvl w:val="2"/>
          <w:numId w:val="32"/>
        </w:numPr>
        <w:snapToGrid w:val="0"/>
        <w:spacing w:line="360" w:lineRule="auto"/>
        <w:jc w:val="both"/>
        <w:outlineLvl w:val="2"/>
        <w:rPr>
          <w:rFonts w:ascii="宋体" w:hAnsi="宋体" w:cs="黑体"/>
          <w:bCs/>
        </w:rPr>
      </w:pPr>
      <w:r>
        <w:rPr>
          <w:rFonts w:hint="eastAsia" w:ascii="宋体" w:hAnsi="宋体" w:cs="黑体"/>
          <w:bCs/>
        </w:rPr>
        <w:t>采购人在收到供应商的书面质疑后7个工作日内作出答复，并以书面形式通知质疑供应商和其他有关供应商，但答复内容不涉及商业秘密。质疑供应商须提供相关证明材料，包括但不限于权益受损害的情况说明及受损害的原因、证据内容等，并对质疑内容的真实性承担责任。</w:t>
      </w:r>
    </w:p>
    <w:p w14:paraId="01AC0EE4">
      <w:pPr>
        <w:numPr>
          <w:ilvl w:val="2"/>
          <w:numId w:val="32"/>
        </w:numPr>
        <w:snapToGrid w:val="0"/>
        <w:spacing w:line="360" w:lineRule="auto"/>
        <w:jc w:val="both"/>
        <w:outlineLvl w:val="2"/>
        <w:rPr>
          <w:rFonts w:ascii="宋体" w:hAnsi="宋体" w:cs="黑体"/>
          <w:bCs/>
        </w:rPr>
      </w:pPr>
      <w:r>
        <w:rPr>
          <w:rFonts w:hint="eastAsia" w:hAnsi="宋体"/>
          <w:snapToGrid w:val="0"/>
        </w:rPr>
        <w:t>采购人或采购代理机构接收以书面形式递交的质疑函，接收质疑函的联系人、联系方式和通讯地址详见2.3</w:t>
      </w:r>
      <w:r>
        <w:rPr>
          <w:rFonts w:hint="eastAsia" w:ascii="宋体" w:hAnsi="宋体" w:cs="黑体"/>
          <w:bCs/>
        </w:rPr>
        <w:t>。</w:t>
      </w:r>
    </w:p>
    <w:p w14:paraId="4B86CEAE">
      <w:pPr>
        <w:numPr>
          <w:ilvl w:val="0"/>
          <w:numId w:val="32"/>
        </w:numPr>
        <w:snapToGrid w:val="0"/>
        <w:spacing w:line="360" w:lineRule="auto"/>
        <w:ind w:left="358" w:hanging="358" w:hangingChars="170"/>
        <w:jc w:val="both"/>
        <w:outlineLvl w:val="2"/>
        <w:rPr>
          <w:rFonts w:ascii="宋体" w:hAnsi="宋体" w:cs="黑体"/>
          <w:b/>
          <w:bCs/>
        </w:rPr>
      </w:pPr>
      <w:r>
        <w:rPr>
          <w:rFonts w:hint="eastAsia" w:ascii="宋体" w:hAnsi="宋体"/>
          <w:b/>
        </w:rPr>
        <w:t>投诉</w:t>
      </w:r>
    </w:p>
    <w:p w14:paraId="36CD693C">
      <w:pPr>
        <w:numPr>
          <w:ilvl w:val="1"/>
          <w:numId w:val="32"/>
        </w:numPr>
        <w:snapToGrid w:val="0"/>
        <w:spacing w:line="360" w:lineRule="auto"/>
        <w:jc w:val="both"/>
        <w:outlineLvl w:val="2"/>
        <w:rPr>
          <w:rFonts w:ascii="宋体" w:hAnsi="宋体" w:cs="黑体"/>
          <w:b/>
          <w:bCs/>
        </w:rPr>
      </w:pPr>
      <w:r>
        <w:rPr>
          <w:rFonts w:hint="eastAsia" w:ascii="宋体" w:hAnsi="宋体"/>
        </w:rPr>
        <w:t>质疑供应商对招标采购单位的质疑答复不满意，或招标采购单位未在规定期限内作出答复的，可以在答复期满后十五个工作日内向同级监管部门提出投诉。</w:t>
      </w:r>
    </w:p>
    <w:p w14:paraId="5F934648">
      <w:pPr>
        <w:snapToGrid w:val="0"/>
        <w:spacing w:line="360" w:lineRule="auto"/>
        <w:ind w:left="357"/>
        <w:jc w:val="center"/>
        <w:outlineLvl w:val="2"/>
        <w:rPr>
          <w:rFonts w:ascii="仿宋_GB2312" w:hAnsi="宋体" w:eastAsia="仿宋_GB2312"/>
          <w:b/>
          <w:sz w:val="28"/>
          <w:szCs w:val="28"/>
          <w:lang w:eastAsia="zh-TW"/>
        </w:rPr>
      </w:pPr>
      <w:r>
        <w:rPr>
          <w:rFonts w:hint="eastAsia" w:ascii="仿宋_GB2312" w:hAnsi="宋体" w:eastAsia="仿宋_GB2312"/>
          <w:b/>
          <w:sz w:val="28"/>
          <w:szCs w:val="28"/>
        </w:rPr>
        <w:t>八</w:t>
      </w:r>
      <w:r>
        <w:rPr>
          <w:rFonts w:hint="eastAsia" w:ascii="仿宋_GB2312" w:hAnsi="宋体" w:eastAsia="仿宋_GB2312"/>
          <w:b/>
          <w:sz w:val="28"/>
          <w:szCs w:val="28"/>
          <w:lang w:eastAsia="zh-TW"/>
        </w:rPr>
        <w:t>、</w:t>
      </w:r>
      <w:bookmarkEnd w:id="231"/>
      <w:bookmarkEnd w:id="232"/>
      <w:bookmarkEnd w:id="233"/>
      <w:bookmarkEnd w:id="234"/>
      <w:r>
        <w:rPr>
          <w:rFonts w:hint="eastAsia" w:ascii="宋体" w:hAnsi="宋体"/>
          <w:b/>
          <w:sz w:val="28"/>
          <w:szCs w:val="28"/>
          <w:lang w:eastAsia="zh-TW"/>
        </w:rPr>
        <w:t>合同</w:t>
      </w:r>
      <w:r>
        <w:rPr>
          <w:rFonts w:hint="eastAsia" w:ascii="宋体" w:hAnsi="宋体"/>
          <w:b/>
          <w:sz w:val="28"/>
          <w:szCs w:val="28"/>
        </w:rPr>
        <w:t>的订立及履行</w:t>
      </w:r>
    </w:p>
    <w:p w14:paraId="68595EBB">
      <w:pPr>
        <w:numPr>
          <w:ilvl w:val="0"/>
          <w:numId w:val="32"/>
        </w:numPr>
        <w:snapToGrid w:val="0"/>
        <w:spacing w:line="360" w:lineRule="auto"/>
        <w:ind w:left="358" w:hanging="358" w:hangingChars="170"/>
        <w:jc w:val="both"/>
        <w:outlineLvl w:val="2"/>
        <w:rPr>
          <w:rFonts w:ascii="宋体" w:hAnsi="宋体"/>
          <w:b/>
          <w:bCs/>
        </w:rPr>
      </w:pPr>
      <w:bookmarkStart w:id="235" w:name="_Toc410738967"/>
      <w:bookmarkStart w:id="236" w:name="_Toc416770243"/>
      <w:bookmarkStart w:id="237" w:name="_Toc416771353"/>
      <w:bookmarkStart w:id="238" w:name="_Toc410736167"/>
      <w:r>
        <w:rPr>
          <w:rFonts w:hint="eastAsia" w:ascii="宋体" w:hAnsi="宋体"/>
          <w:b/>
          <w:bCs/>
        </w:rPr>
        <w:t>合同的订立</w:t>
      </w:r>
      <w:bookmarkEnd w:id="235"/>
      <w:bookmarkEnd w:id="236"/>
      <w:bookmarkEnd w:id="237"/>
      <w:bookmarkEnd w:id="238"/>
    </w:p>
    <w:p w14:paraId="3A274EC8">
      <w:pPr>
        <w:numPr>
          <w:ilvl w:val="1"/>
          <w:numId w:val="32"/>
        </w:numPr>
        <w:tabs>
          <w:tab w:val="left" w:pos="709"/>
          <w:tab w:val="clear" w:pos="360"/>
        </w:tabs>
        <w:snapToGrid w:val="0"/>
        <w:spacing w:line="360" w:lineRule="auto"/>
        <w:ind w:left="709" w:hanging="709"/>
        <w:jc w:val="both"/>
        <w:rPr>
          <w:rFonts w:ascii="宋体" w:hAnsi="宋体" w:cs="宋体"/>
        </w:rPr>
      </w:pPr>
      <w:r>
        <w:rPr>
          <w:rFonts w:hint="eastAsia" w:ascii="宋体" w:hAnsi="宋体" w:cs="宋体"/>
        </w:rPr>
        <w:t>除非</w:t>
      </w:r>
      <w:r>
        <w:rPr>
          <w:rFonts w:hint="eastAsia" w:ascii="宋体" w:hAnsi="宋体" w:cs="宋体"/>
          <w:b/>
        </w:rPr>
        <w:t>磋商资料表</w:t>
      </w:r>
      <w:r>
        <w:rPr>
          <w:rFonts w:hint="eastAsia" w:ascii="宋体" w:hAnsi="宋体" w:cs="宋体"/>
        </w:rPr>
        <w:t xml:space="preserve">另有规定， </w:t>
      </w:r>
      <w:r>
        <w:rPr>
          <w:rFonts w:hint="eastAsia" w:ascii="宋体" w:hAnsi="宋体" w:cs="宋体"/>
          <w:lang w:eastAsia="zh-TW"/>
        </w:rPr>
        <w:t>采购人</w:t>
      </w:r>
      <w:r>
        <w:rPr>
          <w:rFonts w:hint="eastAsia" w:ascii="宋体" w:hAnsi="宋体" w:cs="宋体"/>
        </w:rPr>
        <w:t>应当</w:t>
      </w:r>
      <w:r>
        <w:rPr>
          <w:rFonts w:hint="eastAsia" w:ascii="宋体" w:hAnsi="宋体" w:cs="宋体"/>
          <w:lang w:eastAsia="zh-TW"/>
        </w:rPr>
        <w:t>自成交通知书发出之日起三十日内，按</w:t>
      </w:r>
      <w:r>
        <w:rPr>
          <w:rFonts w:hint="eastAsia" w:ascii="宋体" w:hAnsi="宋体" w:cs="宋体"/>
        </w:rPr>
        <w:t>照</w:t>
      </w:r>
      <w:r>
        <w:rPr>
          <w:rFonts w:hint="eastAsia" w:ascii="宋体" w:hAnsi="宋体" w:cs="宋体"/>
          <w:lang w:eastAsia="zh-TW"/>
        </w:rPr>
        <w:t>竞争性磋商文件要求和成交供应商响应文件承诺签订政府采购合同</w:t>
      </w:r>
      <w:r>
        <w:rPr>
          <w:rFonts w:hint="eastAsia" w:ascii="宋体" w:hAnsi="宋体" w:cs="宋体"/>
        </w:rPr>
        <w:t>。</w:t>
      </w:r>
    </w:p>
    <w:p w14:paraId="7EF3CB47">
      <w:pPr>
        <w:numPr>
          <w:ilvl w:val="1"/>
          <w:numId w:val="32"/>
        </w:numPr>
        <w:tabs>
          <w:tab w:val="left" w:pos="709"/>
          <w:tab w:val="clear" w:pos="360"/>
        </w:tabs>
        <w:snapToGrid w:val="0"/>
        <w:spacing w:line="360" w:lineRule="auto"/>
        <w:ind w:left="709" w:hanging="709"/>
        <w:jc w:val="both"/>
        <w:rPr>
          <w:rFonts w:ascii="宋体" w:hAnsi="宋体" w:cs="宋体"/>
          <w:lang w:eastAsia="zh-TW"/>
        </w:rPr>
      </w:pPr>
      <w:r>
        <w:rPr>
          <w:rFonts w:hint="eastAsia" w:ascii="宋体" w:hAnsi="宋体" w:cs="宋体"/>
          <w:lang w:eastAsia="zh-TW"/>
        </w:rPr>
        <w:t>成交供应商拒绝签订政府采购合同的，采购人可以按照评标报告推荐的</w:t>
      </w:r>
      <w:r>
        <w:rPr>
          <w:rFonts w:hint="eastAsia" w:ascii="宋体" w:hAnsi="宋体" w:cs="宋体"/>
        </w:rPr>
        <w:t>成交</w:t>
      </w:r>
      <w:r>
        <w:rPr>
          <w:rFonts w:hint="eastAsia" w:ascii="宋体" w:hAnsi="宋体" w:cs="宋体"/>
          <w:lang w:eastAsia="zh-TW"/>
        </w:rPr>
        <w:t>候选人名单排序</w:t>
      </w:r>
      <w:r>
        <w:rPr>
          <w:rFonts w:hint="eastAsia" w:ascii="宋体" w:hAnsi="宋体" w:cs="宋体"/>
        </w:rPr>
        <w:t>，</w:t>
      </w:r>
      <w:r>
        <w:rPr>
          <w:rFonts w:hint="eastAsia" w:ascii="宋体" w:hAnsi="宋体" w:cs="宋体"/>
          <w:lang w:eastAsia="zh-TW"/>
        </w:rPr>
        <w:t>确定</w:t>
      </w:r>
      <w:r>
        <w:rPr>
          <w:rFonts w:hint="eastAsia" w:ascii="宋体" w:hAnsi="宋体" w:cs="宋体"/>
        </w:rPr>
        <w:t>下一候选人</w:t>
      </w:r>
      <w:r>
        <w:rPr>
          <w:rFonts w:hint="eastAsia" w:ascii="宋体" w:hAnsi="宋体" w:cs="宋体"/>
          <w:lang w:eastAsia="zh-TW"/>
        </w:rPr>
        <w:t>作为成交供应商并签订政府采购合同，也可以重新开展采购活动。拒绝签订政府采购合同的成交供应商不得参加对该项目重新开展的采购活动</w:t>
      </w:r>
      <w:r>
        <w:rPr>
          <w:rFonts w:hint="eastAsia" w:ascii="宋体" w:hAnsi="宋体" w:cs="宋体"/>
        </w:rPr>
        <w:t>。</w:t>
      </w:r>
    </w:p>
    <w:p w14:paraId="1F5CBEBE">
      <w:pPr>
        <w:numPr>
          <w:ilvl w:val="1"/>
          <w:numId w:val="32"/>
        </w:numPr>
        <w:tabs>
          <w:tab w:val="left" w:pos="709"/>
          <w:tab w:val="clear" w:pos="360"/>
        </w:tabs>
        <w:snapToGrid w:val="0"/>
        <w:spacing w:line="360" w:lineRule="auto"/>
        <w:ind w:left="709" w:hanging="709"/>
        <w:jc w:val="both"/>
        <w:rPr>
          <w:rFonts w:ascii="宋体" w:hAnsi="宋体" w:cs="宋体"/>
          <w:strike/>
          <w:lang w:eastAsia="zh-TW"/>
        </w:rPr>
      </w:pPr>
      <w:r>
        <w:rPr>
          <w:rFonts w:hint="eastAsia" w:ascii="宋体" w:hAnsi="宋体"/>
        </w:rPr>
        <w:t>成交供应商被依法认定成交无效的，合格供应商符合法定数量时，采购人依法从合格的成交候选人中另行确定成交供应商，否则重新组织采购活动。</w:t>
      </w:r>
    </w:p>
    <w:p w14:paraId="444D6074">
      <w:pPr>
        <w:numPr>
          <w:ilvl w:val="0"/>
          <w:numId w:val="32"/>
        </w:numPr>
        <w:snapToGrid w:val="0"/>
        <w:spacing w:line="360" w:lineRule="auto"/>
        <w:ind w:left="358" w:hanging="358" w:hangingChars="170"/>
        <w:jc w:val="both"/>
        <w:outlineLvl w:val="2"/>
        <w:rPr>
          <w:rFonts w:ascii="宋体" w:hAnsi="宋体"/>
          <w:b/>
          <w:bCs/>
        </w:rPr>
      </w:pPr>
      <w:bookmarkStart w:id="239" w:name="_Toc416771354"/>
      <w:bookmarkStart w:id="240" w:name="_Toc410736168"/>
      <w:bookmarkStart w:id="241" w:name="_Toc410738968"/>
      <w:bookmarkStart w:id="242" w:name="_Toc416770244"/>
      <w:r>
        <w:rPr>
          <w:rFonts w:hint="eastAsia" w:ascii="宋体" w:hAnsi="宋体"/>
          <w:b/>
          <w:bCs/>
        </w:rPr>
        <w:t>合同的履行</w:t>
      </w:r>
      <w:bookmarkEnd w:id="239"/>
      <w:bookmarkEnd w:id="240"/>
      <w:bookmarkEnd w:id="241"/>
      <w:bookmarkEnd w:id="242"/>
    </w:p>
    <w:p w14:paraId="0E5049BE">
      <w:pPr>
        <w:numPr>
          <w:ilvl w:val="1"/>
          <w:numId w:val="32"/>
        </w:numPr>
        <w:tabs>
          <w:tab w:val="left" w:pos="709"/>
          <w:tab w:val="clear" w:pos="360"/>
        </w:tabs>
        <w:snapToGrid w:val="0"/>
        <w:spacing w:line="360" w:lineRule="auto"/>
        <w:ind w:left="709" w:hanging="709"/>
        <w:rPr>
          <w:lang w:eastAsia="zh-TW"/>
        </w:rPr>
      </w:pPr>
      <w:r>
        <w:rPr>
          <w:rFonts w:hint="eastAsia" w:ascii="宋体" w:hAnsi="宋体" w:cs="宋体"/>
          <w:lang w:eastAsia="zh-TW"/>
        </w:rPr>
        <w:t>政府采购合同履行中，采购人需追加与合同标的相同的货物、工程或者服务的，在不改变合同其他条款的前提下，可以与响应供应商签订补充合同，但所补充合同的采购金额不得超过原</w:t>
      </w:r>
      <w:r>
        <w:rPr>
          <w:rFonts w:hint="eastAsia" w:ascii="宋体" w:hAnsi="宋体" w:cs="宋体"/>
        </w:rPr>
        <w:t>合同</w:t>
      </w:r>
      <w:r>
        <w:rPr>
          <w:rFonts w:hint="eastAsia" w:ascii="宋体" w:hAnsi="宋体" w:cs="宋体"/>
          <w:lang w:eastAsia="zh-TW"/>
        </w:rPr>
        <w:t>采购金额的百分之十。</w:t>
      </w:r>
    </w:p>
    <w:p w14:paraId="698EA86A">
      <w:pPr>
        <w:numPr>
          <w:ilvl w:val="0"/>
          <w:numId w:val="32"/>
        </w:numPr>
        <w:snapToGrid w:val="0"/>
        <w:spacing w:line="360" w:lineRule="auto"/>
        <w:ind w:left="358" w:hanging="358" w:hangingChars="170"/>
        <w:jc w:val="both"/>
        <w:outlineLvl w:val="2"/>
        <w:rPr>
          <w:rFonts w:ascii="宋体" w:hAnsi="宋体"/>
          <w:b/>
          <w:bCs/>
        </w:rPr>
      </w:pPr>
      <w:bookmarkStart w:id="243" w:name="_Toc410736169"/>
      <w:bookmarkStart w:id="244" w:name="_Toc416771355"/>
      <w:bookmarkStart w:id="245" w:name="_Toc416770245"/>
      <w:bookmarkStart w:id="246" w:name="_Toc410738969"/>
      <w:r>
        <w:rPr>
          <w:rFonts w:hint="eastAsia" w:ascii="宋体" w:hAnsi="宋体"/>
          <w:b/>
          <w:bCs/>
        </w:rPr>
        <w:t>履约保证金</w:t>
      </w:r>
      <w:bookmarkEnd w:id="243"/>
      <w:bookmarkEnd w:id="244"/>
      <w:bookmarkEnd w:id="245"/>
      <w:bookmarkEnd w:id="246"/>
    </w:p>
    <w:p w14:paraId="7CCAF45A">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成交供应商应按照竞争性磋商文件中</w:t>
      </w:r>
      <w:r>
        <w:rPr>
          <w:rFonts w:hint="eastAsia" w:ascii="宋体" w:hAnsi="宋体" w:cs="宋体"/>
        </w:rPr>
        <w:t>要求的金额及提交方式</w:t>
      </w:r>
      <w:r>
        <w:rPr>
          <w:rFonts w:hint="eastAsia" w:ascii="宋体" w:hAnsi="宋体" w:cs="宋体"/>
          <w:lang w:eastAsia="zh-TW"/>
        </w:rPr>
        <w:t>形式向采购人提交履约保证金。</w:t>
      </w:r>
    </w:p>
    <w:p w14:paraId="087D9B1A">
      <w:pPr>
        <w:numPr>
          <w:ilvl w:val="0"/>
          <w:numId w:val="32"/>
        </w:numPr>
        <w:snapToGrid w:val="0"/>
        <w:spacing w:line="360" w:lineRule="auto"/>
        <w:ind w:left="358" w:hanging="358" w:hangingChars="170"/>
        <w:jc w:val="both"/>
        <w:outlineLvl w:val="2"/>
        <w:rPr>
          <w:rFonts w:ascii="宋体" w:hAnsi="宋体"/>
          <w:b/>
          <w:bCs/>
        </w:rPr>
      </w:pPr>
      <w:r>
        <w:rPr>
          <w:rFonts w:hint="eastAsia" w:ascii="宋体" w:hAnsi="宋体"/>
          <w:b/>
          <w:bCs/>
        </w:rPr>
        <w:t>成交服务费</w:t>
      </w:r>
    </w:p>
    <w:p w14:paraId="1CFC78B7">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3</w:t>
      </w:r>
      <w:r>
        <w:rPr>
          <w:rFonts w:ascii="宋体" w:hAnsi="宋体" w:eastAsia="宋体" w:cs="宋体"/>
          <w:color w:val="auto"/>
          <w:sz w:val="21"/>
          <w:szCs w:val="21"/>
        </w:rPr>
        <w:t>5</w:t>
      </w:r>
      <w:r>
        <w:rPr>
          <w:rFonts w:ascii="宋体" w:hAnsi="宋体" w:eastAsia="宋体" w:cs="宋体"/>
          <w:color w:val="auto"/>
          <w:sz w:val="21"/>
          <w:szCs w:val="21"/>
          <w:lang w:eastAsia="zh-TW"/>
        </w:rPr>
        <w:t>.1  按照约定，成交供应商收取成交通知书前向采购代理机构缴交招标代理服务费。</w:t>
      </w:r>
    </w:p>
    <w:p w14:paraId="76DFCAA1">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3</w:t>
      </w:r>
      <w:r>
        <w:rPr>
          <w:rFonts w:ascii="宋体" w:hAnsi="宋体" w:eastAsia="宋体" w:cs="宋体"/>
          <w:color w:val="auto"/>
          <w:sz w:val="21"/>
          <w:szCs w:val="21"/>
        </w:rPr>
        <w:t>5</w:t>
      </w:r>
      <w:r>
        <w:rPr>
          <w:rFonts w:ascii="宋体" w:hAnsi="宋体" w:eastAsia="宋体" w:cs="宋体"/>
          <w:color w:val="auto"/>
          <w:sz w:val="21"/>
          <w:szCs w:val="21"/>
          <w:lang w:eastAsia="zh-TW"/>
        </w:rPr>
        <w:t>.2  服务费按差额定率累进法计算。</w:t>
      </w:r>
    </w:p>
    <w:tbl>
      <w:tblPr>
        <w:tblStyle w:val="13"/>
        <w:tblW w:w="814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143"/>
        <w:gridCol w:w="3999"/>
      </w:tblGrid>
      <w:tr w14:paraId="67E8F1F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0" w:hRule="atLeast"/>
          <w:jc w:val="center"/>
        </w:trPr>
        <w:tc>
          <w:tcPr>
            <w:tcW w:w="4143" w:type="dxa"/>
            <w:tcBorders>
              <w:tl2br w:val="single" w:color="auto" w:sz="4" w:space="0"/>
            </w:tcBorders>
          </w:tcPr>
          <w:p w14:paraId="583331C1">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 xml:space="preserve">                      费率</w:t>
            </w:r>
          </w:p>
          <w:p w14:paraId="34767B28">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中标金额</w:t>
            </w:r>
          </w:p>
        </w:tc>
        <w:tc>
          <w:tcPr>
            <w:tcW w:w="3999" w:type="dxa"/>
            <w:vAlign w:val="center"/>
          </w:tcPr>
          <w:p w14:paraId="2A87B4A6">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工程招标</w:t>
            </w:r>
          </w:p>
        </w:tc>
      </w:tr>
      <w:tr w14:paraId="2B1A80C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1" w:hRule="atLeast"/>
          <w:jc w:val="center"/>
        </w:trPr>
        <w:tc>
          <w:tcPr>
            <w:tcW w:w="4143" w:type="dxa"/>
            <w:vAlign w:val="center"/>
          </w:tcPr>
          <w:p w14:paraId="7C28FA1A">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100万元以下</w:t>
            </w:r>
          </w:p>
        </w:tc>
        <w:tc>
          <w:tcPr>
            <w:tcW w:w="3999" w:type="dxa"/>
            <w:vAlign w:val="center"/>
          </w:tcPr>
          <w:p w14:paraId="654B8CBF">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1.0%</w:t>
            </w:r>
          </w:p>
        </w:tc>
      </w:tr>
      <w:tr w14:paraId="774FA55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2" w:hRule="atLeast"/>
          <w:jc w:val="center"/>
        </w:trPr>
        <w:tc>
          <w:tcPr>
            <w:tcW w:w="4143" w:type="dxa"/>
            <w:vAlign w:val="center"/>
          </w:tcPr>
          <w:p w14:paraId="16FFAB1E">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100～500万元</w:t>
            </w:r>
          </w:p>
        </w:tc>
        <w:tc>
          <w:tcPr>
            <w:tcW w:w="3999" w:type="dxa"/>
            <w:vAlign w:val="center"/>
          </w:tcPr>
          <w:p w14:paraId="5C7CF243">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0.7%</w:t>
            </w:r>
          </w:p>
        </w:tc>
      </w:tr>
      <w:tr w14:paraId="1233EE7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1" w:hRule="atLeast"/>
          <w:jc w:val="center"/>
        </w:trPr>
        <w:tc>
          <w:tcPr>
            <w:tcW w:w="4143" w:type="dxa"/>
            <w:vAlign w:val="center"/>
          </w:tcPr>
          <w:p w14:paraId="228FE839">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500～1000万元</w:t>
            </w:r>
          </w:p>
        </w:tc>
        <w:tc>
          <w:tcPr>
            <w:tcW w:w="3999" w:type="dxa"/>
            <w:vAlign w:val="center"/>
          </w:tcPr>
          <w:p w14:paraId="4835C608">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0.55%</w:t>
            </w:r>
          </w:p>
        </w:tc>
      </w:tr>
      <w:tr w14:paraId="11EC66B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1" w:hRule="atLeast"/>
          <w:jc w:val="center"/>
        </w:trPr>
        <w:tc>
          <w:tcPr>
            <w:tcW w:w="4143" w:type="dxa"/>
            <w:vAlign w:val="center"/>
          </w:tcPr>
          <w:p w14:paraId="6F2BC0E9">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1000～5000万元</w:t>
            </w:r>
          </w:p>
        </w:tc>
        <w:tc>
          <w:tcPr>
            <w:tcW w:w="3999" w:type="dxa"/>
            <w:vAlign w:val="center"/>
          </w:tcPr>
          <w:p w14:paraId="5FFCFAFA">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0.35%</w:t>
            </w:r>
          </w:p>
        </w:tc>
      </w:tr>
      <w:tr w14:paraId="2C84B4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2" w:hRule="atLeast"/>
          <w:jc w:val="center"/>
        </w:trPr>
        <w:tc>
          <w:tcPr>
            <w:tcW w:w="4143" w:type="dxa"/>
            <w:vAlign w:val="center"/>
          </w:tcPr>
          <w:p w14:paraId="6138DC68">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5000万元～1亿元</w:t>
            </w:r>
          </w:p>
        </w:tc>
        <w:tc>
          <w:tcPr>
            <w:tcW w:w="3999" w:type="dxa"/>
            <w:vAlign w:val="center"/>
          </w:tcPr>
          <w:p w14:paraId="37CE1213">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0.2%</w:t>
            </w:r>
          </w:p>
        </w:tc>
      </w:tr>
      <w:tr w14:paraId="0CC67A5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1" w:hRule="atLeast"/>
          <w:jc w:val="center"/>
        </w:trPr>
        <w:tc>
          <w:tcPr>
            <w:tcW w:w="4143" w:type="dxa"/>
            <w:vAlign w:val="center"/>
          </w:tcPr>
          <w:p w14:paraId="4B51A267">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1～5亿元</w:t>
            </w:r>
          </w:p>
        </w:tc>
        <w:tc>
          <w:tcPr>
            <w:tcW w:w="3999" w:type="dxa"/>
            <w:vAlign w:val="center"/>
          </w:tcPr>
          <w:p w14:paraId="4F5F7A24">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0.05%</w:t>
            </w:r>
          </w:p>
        </w:tc>
      </w:tr>
      <w:tr w14:paraId="31C2BB3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1" w:hRule="atLeast"/>
          <w:jc w:val="center"/>
        </w:trPr>
        <w:tc>
          <w:tcPr>
            <w:tcW w:w="4143" w:type="dxa"/>
            <w:vAlign w:val="center"/>
          </w:tcPr>
          <w:p w14:paraId="1AA82875">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5～10亿元</w:t>
            </w:r>
          </w:p>
        </w:tc>
        <w:tc>
          <w:tcPr>
            <w:tcW w:w="3999" w:type="dxa"/>
            <w:vAlign w:val="center"/>
          </w:tcPr>
          <w:p w14:paraId="185B5B76">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0.035%</w:t>
            </w:r>
          </w:p>
        </w:tc>
      </w:tr>
      <w:tr w14:paraId="1B7C01F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2" w:hRule="atLeast"/>
          <w:jc w:val="center"/>
        </w:trPr>
        <w:tc>
          <w:tcPr>
            <w:tcW w:w="4143" w:type="dxa"/>
            <w:vAlign w:val="center"/>
          </w:tcPr>
          <w:p w14:paraId="7F35F759">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10～50亿元</w:t>
            </w:r>
          </w:p>
        </w:tc>
        <w:tc>
          <w:tcPr>
            <w:tcW w:w="3999" w:type="dxa"/>
            <w:vAlign w:val="center"/>
          </w:tcPr>
          <w:p w14:paraId="74A60C84">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0.008%</w:t>
            </w:r>
          </w:p>
        </w:tc>
      </w:tr>
      <w:tr w14:paraId="5FF2C7F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1" w:hRule="atLeast"/>
          <w:jc w:val="center"/>
        </w:trPr>
        <w:tc>
          <w:tcPr>
            <w:tcW w:w="4143" w:type="dxa"/>
            <w:vAlign w:val="center"/>
          </w:tcPr>
          <w:p w14:paraId="7A652D7E">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50～100亿元</w:t>
            </w:r>
          </w:p>
        </w:tc>
        <w:tc>
          <w:tcPr>
            <w:tcW w:w="3999" w:type="dxa"/>
            <w:vAlign w:val="center"/>
          </w:tcPr>
          <w:p w14:paraId="3C26EAFE">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0.006%</w:t>
            </w:r>
          </w:p>
        </w:tc>
      </w:tr>
      <w:tr w14:paraId="2DCB6D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2" w:hRule="atLeast"/>
          <w:jc w:val="center"/>
        </w:trPr>
        <w:tc>
          <w:tcPr>
            <w:tcW w:w="4143" w:type="dxa"/>
            <w:vAlign w:val="center"/>
          </w:tcPr>
          <w:p w14:paraId="142A0FAC">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100亿以上</w:t>
            </w:r>
          </w:p>
        </w:tc>
        <w:tc>
          <w:tcPr>
            <w:tcW w:w="3999" w:type="dxa"/>
            <w:vAlign w:val="center"/>
          </w:tcPr>
          <w:p w14:paraId="4893EB16">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0.004%</w:t>
            </w:r>
          </w:p>
        </w:tc>
      </w:tr>
    </w:tbl>
    <w:p w14:paraId="7598E248">
      <w:pPr>
        <w:pStyle w:val="2"/>
        <w:spacing w:line="360" w:lineRule="auto"/>
        <w:ind w:firstLine="630" w:firstLineChars="300"/>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例如：某工程招标中标金额为500万元，计算招标代理服务收费额如下：</w:t>
      </w:r>
    </w:p>
    <w:p w14:paraId="616731EA">
      <w:pPr>
        <w:pStyle w:val="2"/>
        <w:spacing w:line="360" w:lineRule="auto"/>
        <w:ind w:firstLine="630" w:firstLineChars="300"/>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100万元×1.0%=1.0万元</w:t>
      </w:r>
    </w:p>
    <w:p w14:paraId="2BF94FFF">
      <w:pPr>
        <w:pStyle w:val="2"/>
        <w:spacing w:line="360" w:lineRule="auto"/>
        <w:ind w:firstLine="630" w:firstLineChars="300"/>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（500-100）万元×0.7%=2.8万元</w:t>
      </w:r>
    </w:p>
    <w:p w14:paraId="1E009298">
      <w:pPr>
        <w:pStyle w:val="2"/>
        <w:spacing w:line="360" w:lineRule="auto"/>
        <w:ind w:firstLine="630" w:firstLineChars="300"/>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合计收费=1.0+2.8=3.8（万元）</w:t>
      </w:r>
    </w:p>
    <w:p w14:paraId="57A9BC65">
      <w:pPr>
        <w:autoSpaceDE/>
        <w:autoSpaceDN/>
        <w:adjustRightInd/>
        <w:spacing w:line="440" w:lineRule="exact"/>
        <w:jc w:val="both"/>
      </w:pPr>
      <w:r>
        <w:rPr>
          <w:rFonts w:ascii="宋体" w:hAnsi="宋体"/>
          <w:sz w:val="20"/>
          <w:szCs w:val="20"/>
        </w:rPr>
        <w:br w:type="page"/>
      </w:r>
      <w:r>
        <w:rPr>
          <w:rFonts w:hint="eastAsia" w:ascii="黑体" w:eastAsia="黑体"/>
          <w:bCs/>
          <w:kern w:val="2"/>
          <w:sz w:val="28"/>
          <w:szCs w:val="24"/>
        </w:rPr>
        <w:t>1、询问函格式</w:t>
      </w:r>
    </w:p>
    <w:p w14:paraId="5DE5B22C">
      <w:pPr>
        <w:autoSpaceDE/>
        <w:autoSpaceDN/>
        <w:adjustRightInd/>
        <w:spacing w:afterLines="50"/>
        <w:jc w:val="center"/>
        <w:rPr>
          <w:rStyle w:val="15"/>
          <w:rFonts w:ascii="黑体" w:eastAsia="黑体"/>
          <w:b w:val="0"/>
          <w:sz w:val="28"/>
          <w:szCs w:val="28"/>
        </w:rPr>
      </w:pPr>
      <w:r>
        <w:rPr>
          <w:rStyle w:val="15"/>
          <w:rFonts w:hint="eastAsia" w:ascii="黑体" w:eastAsia="黑体"/>
          <w:sz w:val="28"/>
          <w:szCs w:val="28"/>
        </w:rPr>
        <w:t>询 问 函</w:t>
      </w:r>
    </w:p>
    <w:p w14:paraId="0A2BE2F2">
      <w:pPr>
        <w:widowControl/>
        <w:tabs>
          <w:tab w:val="left" w:pos="6300"/>
        </w:tabs>
        <w:snapToGrid w:val="0"/>
        <w:spacing w:line="360" w:lineRule="auto"/>
        <w:rPr>
          <w:rFonts w:ascii="宋体" w:hAnsi="宋体"/>
        </w:rPr>
      </w:pPr>
      <w:r>
        <w:rPr>
          <w:rFonts w:hint="eastAsia" w:ascii="宋体" w:hAnsi="宋体"/>
          <w:b/>
        </w:rPr>
        <w:t>广东群升招标代理有限公司汕头分公司/（采购人单位名称）</w:t>
      </w:r>
      <w:r>
        <w:rPr>
          <w:rFonts w:hint="eastAsia" w:ascii="宋体" w:hAnsi="宋体"/>
        </w:rPr>
        <w:t>：</w:t>
      </w:r>
    </w:p>
    <w:p w14:paraId="0E41B00A">
      <w:pPr>
        <w:widowControl/>
        <w:tabs>
          <w:tab w:val="left" w:pos="6300"/>
        </w:tabs>
        <w:snapToGrid w:val="0"/>
        <w:spacing w:line="360" w:lineRule="auto"/>
        <w:ind w:firstLine="420" w:firstLineChars="200"/>
        <w:rPr>
          <w:rFonts w:ascii="宋体" w:hAnsi="宋体"/>
        </w:rPr>
      </w:pPr>
      <w:r>
        <w:rPr>
          <w:rFonts w:hint="eastAsia" w:ascii="宋体" w:hAnsi="宋体"/>
        </w:rPr>
        <w:t>我单位已报名并准备参与</w:t>
      </w:r>
      <w:r>
        <w:rPr>
          <w:rFonts w:hint="eastAsia" w:ascii="宋体" w:hAnsi="宋体"/>
          <w:u w:val="single"/>
          <w:lang w:eastAsia="zh-CN"/>
        </w:rPr>
        <w:t>南澳县博物馆消防维护修理及监控设备合并扩容项目</w:t>
      </w:r>
      <w:r>
        <w:rPr>
          <w:rFonts w:hint="eastAsia" w:ascii="宋体" w:hAnsi="宋体"/>
        </w:rPr>
        <w:t>（项目采购编号：）的投标（或报价）活动，现有以下几个内容（或条款）存在疑问（或无法理解），特提出询问。</w:t>
      </w:r>
    </w:p>
    <w:p w14:paraId="7E2CEA52">
      <w:pPr>
        <w:widowControl/>
        <w:tabs>
          <w:tab w:val="center" w:pos="5019"/>
        </w:tabs>
        <w:snapToGrid w:val="0"/>
        <w:spacing w:line="360" w:lineRule="auto"/>
        <w:ind w:firstLine="420" w:firstLineChars="200"/>
        <w:rPr>
          <w:rFonts w:ascii="宋体" w:hAnsi="宋体"/>
        </w:rPr>
      </w:pPr>
      <w:r>
        <w:rPr>
          <w:rFonts w:hint="eastAsia" w:ascii="宋体" w:hAnsi="宋体"/>
        </w:rPr>
        <w:t>一、_____________________（事项一）</w:t>
      </w:r>
      <w:r>
        <w:rPr>
          <w:rFonts w:ascii="宋体" w:hAnsi="宋体"/>
        </w:rPr>
        <w:tab/>
      </w:r>
    </w:p>
    <w:p w14:paraId="155521E1">
      <w:pPr>
        <w:widowControl/>
        <w:tabs>
          <w:tab w:val="left" w:pos="6300"/>
        </w:tabs>
        <w:snapToGrid w:val="0"/>
        <w:spacing w:line="360" w:lineRule="auto"/>
        <w:ind w:firstLine="420" w:firstLineChars="200"/>
        <w:rPr>
          <w:rFonts w:ascii="宋体" w:hAnsi="宋体"/>
        </w:rPr>
      </w:pPr>
      <w:r>
        <w:rPr>
          <w:rFonts w:hint="eastAsia" w:ascii="宋体" w:hAnsi="宋体"/>
        </w:rPr>
        <w:t>（1）____________________（问题或条款内容）</w:t>
      </w:r>
    </w:p>
    <w:p w14:paraId="35BEF99E">
      <w:pPr>
        <w:widowControl/>
        <w:tabs>
          <w:tab w:val="left" w:pos="6300"/>
        </w:tabs>
        <w:snapToGrid w:val="0"/>
        <w:spacing w:line="360" w:lineRule="auto"/>
        <w:ind w:firstLine="420" w:firstLineChars="200"/>
        <w:rPr>
          <w:rFonts w:ascii="宋体" w:hAnsi="宋体"/>
        </w:rPr>
      </w:pPr>
      <w:r>
        <w:rPr>
          <w:rFonts w:hint="eastAsia" w:ascii="宋体" w:hAnsi="宋体"/>
        </w:rPr>
        <w:t>（2）____________________（说明疑问或无法理解原因）</w:t>
      </w:r>
    </w:p>
    <w:p w14:paraId="1C5E6F5C">
      <w:pPr>
        <w:widowControl/>
        <w:tabs>
          <w:tab w:val="left" w:pos="6300"/>
        </w:tabs>
        <w:snapToGrid w:val="0"/>
        <w:spacing w:line="360" w:lineRule="auto"/>
        <w:ind w:firstLine="420" w:firstLineChars="200"/>
        <w:rPr>
          <w:rFonts w:ascii="宋体" w:hAnsi="宋体"/>
        </w:rPr>
      </w:pPr>
      <w:r>
        <w:rPr>
          <w:rFonts w:hint="eastAsia" w:ascii="宋体" w:hAnsi="宋体"/>
        </w:rPr>
        <w:t>（3）____________________（建议）</w:t>
      </w:r>
    </w:p>
    <w:p w14:paraId="1D89ACBE">
      <w:pPr>
        <w:widowControl/>
        <w:tabs>
          <w:tab w:val="left" w:pos="6300"/>
        </w:tabs>
        <w:snapToGrid w:val="0"/>
        <w:spacing w:line="360" w:lineRule="auto"/>
        <w:ind w:firstLine="420" w:firstLineChars="200"/>
        <w:rPr>
          <w:rFonts w:ascii="宋体" w:hAnsi="宋体"/>
        </w:rPr>
      </w:pPr>
      <w:r>
        <w:rPr>
          <w:rFonts w:hint="eastAsia" w:ascii="宋体" w:hAnsi="宋体"/>
        </w:rPr>
        <w:t>二、_____________________（事项二）</w:t>
      </w:r>
    </w:p>
    <w:p w14:paraId="535A3B4D">
      <w:pPr>
        <w:widowControl/>
        <w:tabs>
          <w:tab w:val="left" w:pos="6300"/>
        </w:tabs>
        <w:snapToGrid w:val="0"/>
        <w:spacing w:line="360" w:lineRule="auto"/>
        <w:ind w:firstLine="420" w:firstLineChars="200"/>
        <w:rPr>
          <w:rFonts w:ascii="宋体" w:hAnsi="宋体"/>
        </w:rPr>
      </w:pPr>
      <w:r>
        <w:rPr>
          <w:rFonts w:hint="eastAsia" w:ascii="宋体" w:hAnsi="宋体"/>
        </w:rPr>
        <w:t>……</w:t>
      </w:r>
    </w:p>
    <w:p w14:paraId="7727A129">
      <w:pPr>
        <w:widowControl/>
        <w:tabs>
          <w:tab w:val="left" w:pos="6300"/>
        </w:tabs>
        <w:snapToGrid w:val="0"/>
        <w:spacing w:line="360" w:lineRule="auto"/>
        <w:ind w:firstLine="420" w:firstLineChars="200"/>
        <w:rPr>
          <w:rFonts w:ascii="宋体" w:hAnsi="宋体"/>
        </w:rPr>
      </w:pPr>
      <w:r>
        <w:rPr>
          <w:rFonts w:hint="eastAsia" w:ascii="宋体" w:hAnsi="宋体"/>
        </w:rPr>
        <w:t>随附相关证明材料如下：（目录）。</w:t>
      </w:r>
    </w:p>
    <w:p w14:paraId="236A3264">
      <w:pPr>
        <w:widowControl/>
        <w:tabs>
          <w:tab w:val="left" w:pos="6300"/>
        </w:tabs>
        <w:snapToGrid w:val="0"/>
        <w:spacing w:line="360" w:lineRule="auto"/>
        <w:ind w:firstLine="1260" w:firstLineChars="600"/>
        <w:rPr>
          <w:rFonts w:ascii="宋体" w:hAnsi="宋体"/>
        </w:rPr>
      </w:pPr>
      <w:r>
        <w:rPr>
          <w:rFonts w:hint="eastAsia" w:ascii="宋体" w:hAnsi="宋体"/>
        </w:rPr>
        <w:t>询问人：（公章）</w:t>
      </w:r>
    </w:p>
    <w:p w14:paraId="20F0BE9B">
      <w:pPr>
        <w:widowControl/>
        <w:tabs>
          <w:tab w:val="left" w:pos="6300"/>
        </w:tabs>
        <w:snapToGrid w:val="0"/>
        <w:spacing w:line="360" w:lineRule="auto"/>
        <w:ind w:firstLine="1260" w:firstLineChars="600"/>
        <w:rPr>
          <w:rFonts w:ascii="宋体" w:hAnsi="宋体"/>
        </w:rPr>
      </w:pPr>
      <w:r>
        <w:rPr>
          <w:rFonts w:hint="eastAsia" w:ascii="宋体" w:hAnsi="宋体"/>
        </w:rPr>
        <w:t>法定代表人（授权代表）：</w:t>
      </w:r>
    </w:p>
    <w:p w14:paraId="3678F120">
      <w:pPr>
        <w:tabs>
          <w:tab w:val="left" w:pos="6300"/>
        </w:tabs>
        <w:snapToGrid w:val="0"/>
        <w:spacing w:line="360" w:lineRule="auto"/>
        <w:ind w:firstLine="1260" w:firstLineChars="600"/>
        <w:rPr>
          <w:rFonts w:ascii="宋体" w:hAnsi="宋体"/>
        </w:rPr>
      </w:pPr>
      <w:r>
        <w:rPr>
          <w:rFonts w:hint="eastAsia" w:ascii="宋体" w:hAnsi="宋体"/>
        </w:rPr>
        <w:t>地址/邮编：</w:t>
      </w:r>
    </w:p>
    <w:p w14:paraId="6749B879">
      <w:pPr>
        <w:tabs>
          <w:tab w:val="left" w:pos="6300"/>
        </w:tabs>
        <w:snapToGrid w:val="0"/>
        <w:spacing w:line="360" w:lineRule="auto"/>
        <w:ind w:firstLine="1260" w:firstLineChars="600"/>
        <w:rPr>
          <w:rFonts w:ascii="宋体" w:hAnsi="宋体"/>
        </w:rPr>
      </w:pPr>
      <w:r>
        <w:rPr>
          <w:rFonts w:hint="eastAsia" w:ascii="宋体" w:hAnsi="宋体"/>
        </w:rPr>
        <w:t>电话/传真：</w:t>
      </w:r>
    </w:p>
    <w:p w14:paraId="74604F7A">
      <w:pPr>
        <w:spacing w:line="360" w:lineRule="auto"/>
        <w:rPr>
          <w:rFonts w:ascii="宋体" w:hAnsi="宋体"/>
        </w:rPr>
      </w:pPr>
      <w:r>
        <w:rPr>
          <w:rFonts w:hint="eastAsia" w:ascii="宋体" w:hAnsi="宋体"/>
        </w:rPr>
        <w:t>年月日</w:t>
      </w:r>
    </w:p>
    <w:p w14:paraId="631F3072">
      <w:pPr>
        <w:snapToGrid w:val="0"/>
        <w:spacing w:line="360" w:lineRule="auto"/>
        <w:ind w:firstLine="378" w:firstLineChars="180"/>
        <w:rPr>
          <w:rFonts w:ascii="宋体" w:hAnsi="宋体"/>
        </w:rPr>
      </w:pPr>
    </w:p>
    <w:p w14:paraId="495E2509">
      <w:pPr>
        <w:autoSpaceDE/>
        <w:autoSpaceDN/>
        <w:adjustRightInd/>
        <w:spacing w:line="440" w:lineRule="exact"/>
        <w:jc w:val="both"/>
      </w:pPr>
      <w:r>
        <w:br w:type="page"/>
      </w:r>
      <w:r>
        <w:rPr>
          <w:rFonts w:hint="eastAsia" w:ascii="黑体" w:eastAsia="黑体"/>
          <w:bCs/>
          <w:kern w:val="2"/>
          <w:sz w:val="28"/>
          <w:szCs w:val="24"/>
        </w:rPr>
        <w:t>2：质疑函格式</w:t>
      </w:r>
    </w:p>
    <w:p w14:paraId="45BF3E66">
      <w:pPr>
        <w:jc w:val="center"/>
        <w:rPr>
          <w:rFonts w:ascii="宋体" w:hAnsi="宋体" w:cs="仿宋"/>
          <w:b/>
          <w:bCs/>
        </w:rPr>
      </w:pPr>
      <w:r>
        <w:rPr>
          <w:rFonts w:hint="eastAsia" w:ascii="宋体" w:hAnsi="宋体" w:cs="仿宋"/>
          <w:b/>
          <w:bCs/>
        </w:rPr>
        <w:t>质疑函范本</w:t>
      </w:r>
    </w:p>
    <w:p w14:paraId="0EFF84DA">
      <w:pPr>
        <w:snapToGrid w:val="0"/>
        <w:spacing w:beforeLines="100" w:line="360" w:lineRule="auto"/>
        <w:rPr>
          <w:rFonts w:ascii="宋体" w:hAnsi="宋体" w:cs="仿宋"/>
          <w:bCs/>
        </w:rPr>
      </w:pPr>
      <w:r>
        <w:rPr>
          <w:rFonts w:hint="eastAsia" w:ascii="宋体" w:hAnsi="宋体" w:cs="仿宋"/>
          <w:bCs/>
        </w:rPr>
        <w:t>一、质疑供应商基本信息</w:t>
      </w:r>
    </w:p>
    <w:p w14:paraId="1EAE4832">
      <w:pPr>
        <w:snapToGrid w:val="0"/>
        <w:spacing w:line="360" w:lineRule="auto"/>
        <w:rPr>
          <w:rFonts w:ascii="宋体" w:hAnsi="宋体" w:cs="仿宋"/>
          <w:u w:val="dotted"/>
        </w:rPr>
      </w:pPr>
      <w:r>
        <w:rPr>
          <w:rFonts w:hint="eastAsia" w:ascii="宋体" w:hAnsi="宋体" w:cs="仿宋"/>
        </w:rPr>
        <w:t>质疑供应商：</w:t>
      </w:r>
    </w:p>
    <w:p w14:paraId="229C1AFD">
      <w:pPr>
        <w:snapToGrid w:val="0"/>
        <w:spacing w:line="360" w:lineRule="auto"/>
        <w:rPr>
          <w:rFonts w:ascii="宋体" w:hAnsi="宋体" w:cs="仿宋"/>
        </w:rPr>
      </w:pPr>
      <w:r>
        <w:rPr>
          <w:rFonts w:hint="eastAsia" w:ascii="宋体" w:hAnsi="宋体" w:cs="仿宋"/>
        </w:rPr>
        <w:t>地址：邮编：</w:t>
      </w:r>
    </w:p>
    <w:p w14:paraId="4E245853">
      <w:pPr>
        <w:snapToGrid w:val="0"/>
        <w:spacing w:line="360" w:lineRule="auto"/>
        <w:rPr>
          <w:rFonts w:ascii="宋体" w:hAnsi="宋体" w:cs="仿宋"/>
        </w:rPr>
      </w:pPr>
      <w:r>
        <w:rPr>
          <w:rFonts w:hint="eastAsia" w:ascii="宋体" w:hAnsi="宋体" w:cs="仿宋"/>
        </w:rPr>
        <w:t>联系人：联系电话：</w:t>
      </w:r>
    </w:p>
    <w:p w14:paraId="77D2A425">
      <w:pPr>
        <w:snapToGrid w:val="0"/>
        <w:spacing w:line="360" w:lineRule="auto"/>
        <w:rPr>
          <w:rFonts w:ascii="宋体" w:hAnsi="宋体" w:cs="仿宋"/>
          <w:u w:val="dotted"/>
        </w:rPr>
      </w:pPr>
      <w:r>
        <w:rPr>
          <w:rFonts w:hint="eastAsia" w:ascii="宋体" w:hAnsi="宋体" w:cs="仿宋"/>
        </w:rPr>
        <w:t>授权代表：</w:t>
      </w:r>
    </w:p>
    <w:p w14:paraId="06389C0E">
      <w:pPr>
        <w:snapToGrid w:val="0"/>
        <w:spacing w:line="360" w:lineRule="auto"/>
        <w:rPr>
          <w:rFonts w:ascii="宋体" w:hAnsi="宋体" w:cs="仿宋"/>
        </w:rPr>
      </w:pPr>
      <w:r>
        <w:rPr>
          <w:rFonts w:hint="eastAsia" w:ascii="宋体" w:hAnsi="宋体" w:cs="仿宋"/>
        </w:rPr>
        <w:t>联系电话：</w:t>
      </w:r>
    </w:p>
    <w:p w14:paraId="4F1E1392">
      <w:pPr>
        <w:snapToGrid w:val="0"/>
        <w:spacing w:line="360" w:lineRule="auto"/>
        <w:rPr>
          <w:rFonts w:ascii="宋体" w:hAnsi="宋体" w:cs="仿宋"/>
        </w:rPr>
      </w:pPr>
      <w:r>
        <w:rPr>
          <w:rFonts w:hint="eastAsia" w:ascii="宋体" w:hAnsi="宋体" w:cs="仿宋"/>
        </w:rPr>
        <w:t>地址：邮编：</w:t>
      </w:r>
    </w:p>
    <w:p w14:paraId="5481EC76">
      <w:pPr>
        <w:snapToGrid w:val="0"/>
        <w:spacing w:line="360" w:lineRule="auto"/>
        <w:rPr>
          <w:rFonts w:ascii="宋体" w:hAnsi="宋体" w:cs="仿宋"/>
          <w:bCs/>
        </w:rPr>
      </w:pPr>
      <w:r>
        <w:rPr>
          <w:rFonts w:hint="eastAsia" w:ascii="宋体" w:hAnsi="宋体" w:cs="仿宋"/>
          <w:bCs/>
        </w:rPr>
        <w:t>二、质疑项目基本情况</w:t>
      </w:r>
    </w:p>
    <w:p w14:paraId="096E8CBF">
      <w:pPr>
        <w:snapToGrid w:val="0"/>
        <w:spacing w:line="360" w:lineRule="auto"/>
        <w:rPr>
          <w:rFonts w:ascii="宋体" w:hAnsi="宋体" w:cs="仿宋"/>
        </w:rPr>
      </w:pPr>
      <w:r>
        <w:rPr>
          <w:rFonts w:hint="eastAsia" w:ascii="宋体" w:hAnsi="宋体" w:cs="仿宋"/>
        </w:rPr>
        <w:t>质疑项目的名称：</w:t>
      </w:r>
    </w:p>
    <w:p w14:paraId="54FC410E">
      <w:pPr>
        <w:snapToGrid w:val="0"/>
        <w:spacing w:line="360" w:lineRule="auto"/>
        <w:rPr>
          <w:rFonts w:ascii="宋体" w:hAnsi="宋体" w:cs="仿宋"/>
        </w:rPr>
      </w:pPr>
      <w:r>
        <w:rPr>
          <w:rFonts w:hint="eastAsia" w:ascii="宋体" w:hAnsi="宋体" w:cs="仿宋"/>
        </w:rPr>
        <w:t>质疑项目的编号：包号：</w:t>
      </w:r>
    </w:p>
    <w:p w14:paraId="59B2A3BD">
      <w:pPr>
        <w:snapToGrid w:val="0"/>
        <w:spacing w:line="360" w:lineRule="auto"/>
        <w:rPr>
          <w:rFonts w:ascii="宋体" w:hAnsi="宋体" w:cs="仿宋"/>
          <w:u w:val="single"/>
        </w:rPr>
      </w:pPr>
      <w:r>
        <w:rPr>
          <w:rFonts w:hint="eastAsia" w:ascii="宋体" w:hAnsi="宋体" w:cs="仿宋"/>
        </w:rPr>
        <w:t>采购人名称：</w:t>
      </w:r>
    </w:p>
    <w:p w14:paraId="617AF7EF">
      <w:pPr>
        <w:snapToGrid w:val="0"/>
        <w:spacing w:line="360" w:lineRule="auto"/>
        <w:rPr>
          <w:rFonts w:ascii="宋体" w:hAnsi="宋体" w:cs="仿宋"/>
          <w:u w:val="single"/>
        </w:rPr>
      </w:pPr>
      <w:r>
        <w:rPr>
          <w:rFonts w:hint="eastAsia" w:ascii="宋体" w:hAnsi="宋体" w:cs="仿宋"/>
        </w:rPr>
        <w:t>采购文件获取日期：</w:t>
      </w:r>
    </w:p>
    <w:p w14:paraId="56882A3F">
      <w:pPr>
        <w:snapToGrid w:val="0"/>
        <w:spacing w:line="360" w:lineRule="auto"/>
        <w:rPr>
          <w:rFonts w:ascii="宋体" w:hAnsi="宋体" w:cs="仿宋"/>
          <w:bCs/>
        </w:rPr>
      </w:pPr>
      <w:r>
        <w:rPr>
          <w:rFonts w:hint="eastAsia" w:ascii="宋体" w:hAnsi="宋体" w:cs="仿宋"/>
          <w:bCs/>
        </w:rPr>
        <w:t>三、质疑事项具体内容</w:t>
      </w:r>
    </w:p>
    <w:p w14:paraId="59C7C271">
      <w:pPr>
        <w:snapToGrid w:val="0"/>
        <w:spacing w:line="360" w:lineRule="auto"/>
        <w:rPr>
          <w:rFonts w:ascii="宋体" w:hAnsi="宋体" w:cs="仿宋"/>
          <w:u w:val="single"/>
        </w:rPr>
      </w:pPr>
      <w:r>
        <w:rPr>
          <w:rFonts w:hint="eastAsia" w:ascii="宋体" w:hAnsi="宋体" w:cs="仿宋"/>
        </w:rPr>
        <w:t>质疑事项1：</w:t>
      </w:r>
    </w:p>
    <w:p w14:paraId="5C74CAC0">
      <w:pPr>
        <w:snapToGrid w:val="0"/>
        <w:spacing w:line="360" w:lineRule="auto"/>
        <w:rPr>
          <w:rFonts w:ascii="宋体" w:hAnsi="宋体" w:cs="仿宋"/>
          <w:u w:val="single"/>
        </w:rPr>
      </w:pPr>
      <w:r>
        <w:rPr>
          <w:rFonts w:hint="eastAsia" w:ascii="宋体" w:hAnsi="宋体" w:cs="仿宋"/>
        </w:rPr>
        <w:t>事实依据：</w:t>
      </w:r>
    </w:p>
    <w:p w14:paraId="3C806A52">
      <w:pPr>
        <w:snapToGrid w:val="0"/>
        <w:spacing w:line="360" w:lineRule="auto"/>
        <w:rPr>
          <w:rFonts w:ascii="宋体" w:hAnsi="宋体" w:cs="仿宋"/>
          <w:u w:val="single"/>
        </w:rPr>
      </w:pPr>
    </w:p>
    <w:p w14:paraId="57CDA0C6">
      <w:pPr>
        <w:snapToGrid w:val="0"/>
        <w:spacing w:line="360" w:lineRule="auto"/>
        <w:rPr>
          <w:rFonts w:ascii="宋体" w:hAnsi="宋体" w:cs="仿宋"/>
          <w:u w:val="single"/>
        </w:rPr>
      </w:pPr>
      <w:r>
        <w:rPr>
          <w:rFonts w:hint="eastAsia" w:ascii="宋体" w:hAnsi="宋体" w:cs="仿宋"/>
        </w:rPr>
        <w:t>法律依据：</w:t>
      </w:r>
    </w:p>
    <w:p w14:paraId="667C8711">
      <w:pPr>
        <w:snapToGrid w:val="0"/>
        <w:spacing w:line="360" w:lineRule="auto"/>
        <w:rPr>
          <w:rFonts w:ascii="宋体" w:hAnsi="宋体" w:cs="仿宋"/>
          <w:u w:val="single"/>
        </w:rPr>
      </w:pPr>
    </w:p>
    <w:p w14:paraId="39DE34CC">
      <w:pPr>
        <w:snapToGrid w:val="0"/>
        <w:spacing w:line="360" w:lineRule="auto"/>
        <w:rPr>
          <w:rFonts w:ascii="宋体" w:hAnsi="宋体" w:cs="仿宋"/>
          <w:u w:val="dotted"/>
        </w:rPr>
      </w:pPr>
      <w:r>
        <w:rPr>
          <w:rFonts w:hint="eastAsia" w:ascii="宋体" w:hAnsi="宋体" w:cs="仿宋"/>
        </w:rPr>
        <w:t>质疑事项2</w:t>
      </w:r>
    </w:p>
    <w:p w14:paraId="66755D3A">
      <w:pPr>
        <w:snapToGrid w:val="0"/>
        <w:spacing w:line="360" w:lineRule="auto"/>
        <w:rPr>
          <w:rFonts w:ascii="宋体" w:hAnsi="宋体" w:cs="仿宋"/>
        </w:rPr>
      </w:pPr>
      <w:r>
        <w:rPr>
          <w:rFonts w:hint="eastAsia" w:ascii="宋体" w:hAnsi="宋体" w:cs="仿宋"/>
        </w:rPr>
        <w:t>……</w:t>
      </w:r>
    </w:p>
    <w:p w14:paraId="18FDFFE4">
      <w:pPr>
        <w:snapToGrid w:val="0"/>
        <w:spacing w:line="360" w:lineRule="auto"/>
        <w:rPr>
          <w:rFonts w:ascii="宋体" w:hAnsi="宋体" w:cs="仿宋"/>
          <w:bCs/>
        </w:rPr>
      </w:pPr>
      <w:r>
        <w:rPr>
          <w:rFonts w:hint="eastAsia" w:ascii="宋体" w:hAnsi="宋体" w:cs="仿宋"/>
          <w:bCs/>
        </w:rPr>
        <w:t>四、与质疑事项相关的质疑请求</w:t>
      </w:r>
    </w:p>
    <w:p w14:paraId="6227C091">
      <w:pPr>
        <w:snapToGrid w:val="0"/>
        <w:spacing w:line="360" w:lineRule="auto"/>
        <w:rPr>
          <w:rFonts w:ascii="宋体" w:hAnsi="宋体" w:cs="仿宋"/>
          <w:u w:val="dotted"/>
        </w:rPr>
      </w:pPr>
      <w:r>
        <w:rPr>
          <w:rFonts w:hint="eastAsia" w:ascii="宋体" w:hAnsi="宋体" w:cs="仿宋"/>
        </w:rPr>
        <w:t>请求：</w:t>
      </w:r>
    </w:p>
    <w:p w14:paraId="19810843">
      <w:pPr>
        <w:spacing w:line="360" w:lineRule="auto"/>
        <w:rPr>
          <w:rFonts w:ascii="宋体" w:hAnsi="宋体"/>
        </w:rPr>
      </w:pPr>
      <w:r>
        <w:rPr>
          <w:rFonts w:hint="eastAsia" w:ascii="宋体" w:hAnsi="宋体"/>
        </w:rPr>
        <w:t xml:space="preserve">签字(签章)：                   公章：                      </w:t>
      </w:r>
    </w:p>
    <w:p w14:paraId="30187F76">
      <w:pPr>
        <w:spacing w:line="360" w:lineRule="auto"/>
        <w:rPr>
          <w:rFonts w:ascii="宋体" w:hAnsi="宋体"/>
        </w:rPr>
      </w:pPr>
      <w:r>
        <w:rPr>
          <w:rFonts w:hint="eastAsia" w:ascii="宋体" w:hAnsi="宋体"/>
        </w:rPr>
        <w:t xml:space="preserve">日期：    </w:t>
      </w:r>
    </w:p>
    <w:p w14:paraId="1639937C">
      <w:pPr>
        <w:snapToGrid w:val="0"/>
        <w:spacing w:line="360" w:lineRule="auto"/>
        <w:rPr>
          <w:rFonts w:ascii="宋体" w:hAnsi="宋体" w:cs="仿宋"/>
        </w:rPr>
      </w:pPr>
      <w:r>
        <w:rPr>
          <w:rFonts w:hint="eastAsia" w:ascii="宋体" w:hAnsi="宋体" w:cs="仿宋"/>
        </w:rPr>
        <w:t>附件：</w:t>
      </w:r>
    </w:p>
    <w:tbl>
      <w:tblPr>
        <w:tblStyle w:val="13"/>
        <w:tblW w:w="90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747"/>
        <w:gridCol w:w="2761"/>
        <w:gridCol w:w="2247"/>
        <w:gridCol w:w="2247"/>
      </w:tblGrid>
      <w:tr w14:paraId="17923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7FC38A90">
            <w:pPr>
              <w:snapToGrid w:val="0"/>
              <w:spacing w:line="360" w:lineRule="auto"/>
              <w:rPr>
                <w:rFonts w:ascii="宋体" w:hAnsi="宋体" w:cs="仿宋"/>
              </w:rPr>
            </w:pPr>
            <w:r>
              <w:rPr>
                <w:rFonts w:hint="eastAsia" w:ascii="宋体" w:hAnsi="宋体" w:cs="仿宋"/>
              </w:rPr>
              <w:t>序号</w:t>
            </w:r>
          </w:p>
        </w:tc>
        <w:tc>
          <w:tcPr>
            <w:tcW w:w="2761"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04F32935">
            <w:pPr>
              <w:snapToGrid w:val="0"/>
              <w:spacing w:line="360" w:lineRule="auto"/>
              <w:rPr>
                <w:rFonts w:ascii="宋体" w:hAnsi="宋体" w:cs="仿宋"/>
              </w:rPr>
            </w:pPr>
            <w:r>
              <w:rPr>
                <w:rFonts w:hint="eastAsia" w:hAnsi="宋体"/>
              </w:rPr>
              <w:t>证明材料</w:t>
            </w:r>
            <w:r>
              <w:rPr>
                <w:rFonts w:hint="eastAsia" w:ascii="宋体" w:hAnsi="宋体" w:cs="仿宋"/>
              </w:rPr>
              <w:t>名称</w:t>
            </w: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713B9058">
            <w:pPr>
              <w:snapToGrid w:val="0"/>
              <w:spacing w:line="360" w:lineRule="auto"/>
              <w:rPr>
                <w:rFonts w:ascii="宋体" w:hAnsi="宋体" w:cs="仿宋"/>
              </w:rPr>
            </w:pPr>
            <w:r>
              <w:rPr>
                <w:rFonts w:hint="eastAsia" w:hAnsi="宋体"/>
              </w:rPr>
              <w:t>证明材料</w:t>
            </w:r>
            <w:r>
              <w:rPr>
                <w:rFonts w:hint="eastAsia" w:ascii="宋体" w:hAnsi="宋体" w:cs="仿宋"/>
              </w:rPr>
              <w:t>来源</w:t>
            </w: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3C8323B2">
            <w:pPr>
              <w:snapToGrid w:val="0"/>
              <w:spacing w:line="360" w:lineRule="auto"/>
              <w:rPr>
                <w:rFonts w:ascii="宋体" w:hAnsi="宋体" w:cs="仿宋"/>
              </w:rPr>
            </w:pPr>
            <w:r>
              <w:rPr>
                <w:rFonts w:hint="eastAsia" w:ascii="宋体" w:hAnsi="宋体" w:cs="仿宋"/>
              </w:rPr>
              <w:t xml:space="preserve">证明对象 </w:t>
            </w:r>
          </w:p>
        </w:tc>
      </w:tr>
      <w:tr w14:paraId="5F546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4BD77B52">
            <w:pPr>
              <w:snapToGrid w:val="0"/>
              <w:spacing w:line="360" w:lineRule="auto"/>
              <w:rPr>
                <w:rFonts w:ascii="宋体" w:hAnsi="宋体" w:cs="仿宋"/>
              </w:rPr>
            </w:pPr>
            <w:r>
              <w:rPr>
                <w:rFonts w:hint="eastAsia" w:ascii="宋体" w:hAnsi="宋体" w:cs="仿宋"/>
              </w:rPr>
              <w:t xml:space="preserve">1 </w:t>
            </w:r>
          </w:p>
        </w:tc>
        <w:tc>
          <w:tcPr>
            <w:tcW w:w="2761"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1A142939">
            <w:pPr>
              <w:widowControl/>
              <w:autoSpaceDE/>
              <w:autoSpaceDN/>
              <w:adjustRightInd/>
              <w:rPr>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4F97020F">
            <w:pPr>
              <w:widowControl/>
              <w:autoSpaceDE/>
              <w:autoSpaceDN/>
              <w:adjustRightInd/>
              <w:rPr>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1D19183B">
            <w:pPr>
              <w:widowControl/>
              <w:autoSpaceDE/>
              <w:autoSpaceDN/>
              <w:adjustRightInd/>
              <w:rPr>
                <w:sz w:val="20"/>
                <w:szCs w:val="20"/>
              </w:rPr>
            </w:pPr>
          </w:p>
        </w:tc>
      </w:tr>
      <w:tr w14:paraId="5B2B4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24434C43">
            <w:pPr>
              <w:snapToGrid w:val="0"/>
              <w:spacing w:line="360" w:lineRule="auto"/>
              <w:rPr>
                <w:rFonts w:ascii="宋体" w:hAnsi="宋体" w:cs="仿宋"/>
              </w:rPr>
            </w:pPr>
            <w:r>
              <w:rPr>
                <w:rFonts w:hint="eastAsia" w:ascii="宋体" w:hAnsi="宋体" w:cs="仿宋"/>
              </w:rPr>
              <w:t xml:space="preserve">2 </w:t>
            </w:r>
          </w:p>
        </w:tc>
        <w:tc>
          <w:tcPr>
            <w:tcW w:w="2761"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5AB38927">
            <w:pPr>
              <w:widowControl/>
              <w:autoSpaceDE/>
              <w:autoSpaceDN/>
              <w:adjustRightInd/>
              <w:rPr>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77D3C8ED">
            <w:pPr>
              <w:widowControl/>
              <w:autoSpaceDE/>
              <w:autoSpaceDN/>
              <w:adjustRightInd/>
              <w:rPr>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0E2A96B9">
            <w:pPr>
              <w:widowControl/>
              <w:autoSpaceDE/>
              <w:autoSpaceDN/>
              <w:adjustRightInd/>
              <w:rPr>
                <w:sz w:val="20"/>
                <w:szCs w:val="20"/>
              </w:rPr>
            </w:pPr>
          </w:p>
        </w:tc>
      </w:tr>
      <w:tr w14:paraId="67D26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5F222987">
            <w:pPr>
              <w:snapToGrid w:val="0"/>
              <w:spacing w:line="360" w:lineRule="auto"/>
              <w:rPr>
                <w:rFonts w:ascii="宋体" w:hAnsi="宋体" w:cs="仿宋"/>
              </w:rPr>
            </w:pPr>
            <w:r>
              <w:rPr>
                <w:rFonts w:hint="eastAsia" w:ascii="宋体" w:hAnsi="宋体" w:cs="仿宋"/>
              </w:rPr>
              <w:t>……</w:t>
            </w:r>
          </w:p>
        </w:tc>
        <w:tc>
          <w:tcPr>
            <w:tcW w:w="2761"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7553502B">
            <w:pPr>
              <w:widowControl/>
              <w:autoSpaceDE/>
              <w:autoSpaceDN/>
              <w:adjustRightInd/>
              <w:rPr>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74040C70">
            <w:pPr>
              <w:widowControl/>
              <w:autoSpaceDE/>
              <w:autoSpaceDN/>
              <w:adjustRightInd/>
              <w:rPr>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46658DCD">
            <w:pPr>
              <w:widowControl/>
              <w:autoSpaceDE/>
              <w:autoSpaceDN/>
              <w:adjustRightInd/>
              <w:rPr>
                <w:sz w:val="20"/>
                <w:szCs w:val="20"/>
              </w:rPr>
            </w:pPr>
          </w:p>
        </w:tc>
      </w:tr>
    </w:tbl>
    <w:p w14:paraId="5611A714">
      <w:pPr>
        <w:snapToGrid w:val="0"/>
        <w:spacing w:line="360" w:lineRule="auto"/>
        <w:rPr>
          <w:rFonts w:ascii="宋体" w:hAnsi="宋体" w:cs="仿宋"/>
        </w:rPr>
      </w:pPr>
    </w:p>
    <w:p w14:paraId="4E1B9A27">
      <w:pPr>
        <w:snapToGrid w:val="0"/>
        <w:spacing w:line="360" w:lineRule="auto"/>
        <w:rPr>
          <w:rFonts w:ascii="宋体" w:hAnsi="宋体" w:cs="仿宋"/>
        </w:rPr>
      </w:pPr>
    </w:p>
    <w:p w14:paraId="687B8FD5">
      <w:pPr>
        <w:pStyle w:val="17"/>
        <w:ind w:firstLine="420"/>
      </w:pPr>
    </w:p>
    <w:p w14:paraId="143A3C31">
      <w:pPr>
        <w:spacing w:line="360" w:lineRule="auto"/>
        <w:rPr>
          <w:rFonts w:ascii="宋体" w:hAnsi="宋体"/>
          <w:b/>
        </w:rPr>
      </w:pPr>
      <w:r>
        <w:rPr>
          <w:rFonts w:hint="eastAsia" w:ascii="宋体" w:hAnsi="宋体"/>
          <w:b/>
        </w:rPr>
        <w:t>质疑函制作说明：</w:t>
      </w:r>
    </w:p>
    <w:p w14:paraId="20E9D0E1">
      <w:pPr>
        <w:widowControl/>
        <w:spacing w:line="360" w:lineRule="auto"/>
        <w:ind w:firstLine="420" w:firstLineChars="200"/>
        <w:rPr>
          <w:rFonts w:ascii="宋体" w:hAnsi="宋体"/>
        </w:rPr>
      </w:pPr>
      <w:r>
        <w:rPr>
          <w:rFonts w:hint="eastAsia" w:ascii="宋体" w:hAnsi="宋体"/>
        </w:rPr>
        <w:t>1.供应商提出质疑时，应提交质疑函和必要的证明材料。</w:t>
      </w:r>
    </w:p>
    <w:p w14:paraId="469A6AD1">
      <w:pPr>
        <w:widowControl/>
        <w:spacing w:line="360" w:lineRule="auto"/>
        <w:ind w:firstLine="420" w:firstLineChars="200"/>
        <w:rPr>
          <w:rFonts w:ascii="宋体" w:hAnsi="宋体"/>
        </w:rPr>
      </w:pPr>
      <w:r>
        <w:rPr>
          <w:rFonts w:hint="eastAsia" w:ascii="宋体" w:hAnsi="宋体"/>
        </w:rPr>
        <w:t>2.质疑供应商若委托代理人进行质疑的，质疑函应按要求列明“授权代表”的有关内容，并在附件中提交由质疑</w:t>
      </w:r>
      <w:r>
        <w:rPr>
          <w:rFonts w:hint="eastAsia" w:ascii="宋体" w:hAnsi="宋体" w:cs="宋体"/>
        </w:rPr>
        <w:t>供应商签署的授权委托书。授权委托书应载明代理人的姓名或者名称、代理事项、具体权限、期限和相关事项。</w:t>
      </w:r>
    </w:p>
    <w:p w14:paraId="55152981">
      <w:pPr>
        <w:widowControl/>
        <w:spacing w:line="360" w:lineRule="auto"/>
        <w:ind w:firstLine="420" w:firstLineChars="200"/>
        <w:rPr>
          <w:rFonts w:ascii="宋体" w:hAnsi="宋体"/>
        </w:rPr>
      </w:pPr>
      <w:r>
        <w:rPr>
          <w:rFonts w:hint="eastAsia" w:ascii="宋体" w:hAnsi="宋体"/>
        </w:rPr>
        <w:t>3.质疑供应商若对项目的某一分包进行质疑，质疑函中应列明具体分包号。</w:t>
      </w:r>
    </w:p>
    <w:p w14:paraId="2B458EFC">
      <w:pPr>
        <w:widowControl/>
        <w:spacing w:line="360" w:lineRule="auto"/>
        <w:ind w:firstLine="420" w:firstLineChars="200"/>
        <w:rPr>
          <w:rFonts w:ascii="宋体" w:hAnsi="宋体"/>
        </w:rPr>
      </w:pPr>
      <w:r>
        <w:rPr>
          <w:rFonts w:hint="eastAsia" w:ascii="宋体" w:hAnsi="宋体"/>
        </w:rPr>
        <w:t>4.质疑函的质疑事项应具体、明确，并有必要的事实依据和法律依据。</w:t>
      </w:r>
    </w:p>
    <w:p w14:paraId="0E0B2A03">
      <w:pPr>
        <w:widowControl/>
        <w:spacing w:line="360" w:lineRule="auto"/>
        <w:ind w:firstLine="420" w:firstLineChars="200"/>
        <w:rPr>
          <w:rFonts w:ascii="宋体" w:hAnsi="宋体"/>
        </w:rPr>
      </w:pPr>
      <w:r>
        <w:rPr>
          <w:rFonts w:hint="eastAsia" w:ascii="宋体" w:hAnsi="宋体"/>
        </w:rPr>
        <w:t>5.质疑函的质疑请求应与质疑事项相关。</w:t>
      </w:r>
    </w:p>
    <w:p w14:paraId="2096718A">
      <w:pPr>
        <w:widowControl/>
        <w:snapToGrid w:val="0"/>
        <w:spacing w:line="360" w:lineRule="auto"/>
        <w:ind w:firstLine="420" w:firstLineChars="200"/>
        <w:rPr>
          <w:rFonts w:ascii="宋体" w:hAnsi="宋体"/>
        </w:rPr>
      </w:pPr>
      <w:r>
        <w:rPr>
          <w:rFonts w:hint="eastAsia" w:ascii="宋体" w:hAnsi="宋体"/>
        </w:rPr>
        <w:t>6.质疑供应商为自然人的，质疑函应由本人签字；质疑供应商为法人或者其他组织的，质疑函应由法定代表人、主要负责人，或者其授权代表签字或者盖章，并加盖公章。</w:t>
      </w:r>
    </w:p>
    <w:p w14:paraId="0FAF456E">
      <w:pPr>
        <w:widowControl/>
        <w:snapToGrid w:val="0"/>
        <w:spacing w:line="360" w:lineRule="auto"/>
        <w:ind w:firstLine="420" w:firstLineChars="200"/>
        <w:rPr>
          <w:rFonts w:ascii="宋体" w:hAnsi="宋体" w:cs="宋体"/>
        </w:rPr>
      </w:pPr>
      <w:r>
        <w:rPr>
          <w:rFonts w:hint="eastAsia" w:ascii="宋体" w:hAnsi="宋体"/>
        </w:rPr>
        <w:t>7. 供应商应在提交的证明材料中对质疑点的内容作出相应的标识或以醒目的方式标明。</w:t>
      </w:r>
    </w:p>
    <w:p w14:paraId="5BE6B1DB">
      <w:pPr>
        <w:widowControl/>
        <w:snapToGrid w:val="0"/>
        <w:spacing w:line="360" w:lineRule="auto"/>
        <w:ind w:firstLine="422" w:firstLineChars="200"/>
        <w:rPr>
          <w:rFonts w:ascii="宋体" w:hAnsi="宋体" w:cs="宋体"/>
          <w:b/>
        </w:rPr>
      </w:pPr>
    </w:p>
    <w:p w14:paraId="2D626712">
      <w:pPr>
        <w:snapToGrid w:val="0"/>
        <w:spacing w:line="360" w:lineRule="auto"/>
        <w:rPr>
          <w:rFonts w:ascii="宋体" w:hAnsi="宋体" w:cs="宋体"/>
        </w:rPr>
      </w:pPr>
    </w:p>
    <w:p w14:paraId="169E985D"/>
    <w:p w14:paraId="0E9F1157"/>
    <w:p w14:paraId="227C37DC"/>
    <w:p w14:paraId="1D15CF90"/>
    <w:sectPr>
      <w:type w:val="continuous"/>
      <w:pgSz w:w="11907" w:h="16839"/>
      <w:pgMar w:top="1276" w:right="1134" w:bottom="993" w:left="1134"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隶书">
    <w:altName w:val="微软雅黑"/>
    <w:panose1 w:val="02010509060101010101"/>
    <w:charset w:val="86"/>
    <w:family w:val="modern"/>
    <w:pitch w:val="default"/>
    <w:sig w:usb0="00000000" w:usb1="00000000" w:usb2="00000000" w:usb3="00000000" w:csb0="00040000" w:csb1="00000000"/>
  </w:font>
  <w:font w:name="MS Mincho">
    <w:altName w:val="Yu Gothic UI"/>
    <w:panose1 w:val="02020609040205080304"/>
    <w:charset w:val="80"/>
    <w:family w:val="modern"/>
    <w:pitch w:val="default"/>
    <w:sig w:usb0="00000000" w:usb1="00000000" w:usb2="00000012" w:usb3="00000000" w:csb0="4002009F" w:csb1="DFD7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773934">
    <w:pPr>
      <w:pStyle w:val="8"/>
      <w:ind w:firstLine="4140" w:firstLineChars="2300"/>
    </w:pPr>
    <w:r>
      <w:rPr>
        <w:rFonts w:hint="eastAsia"/>
      </w:rPr>
      <w:t>第</w:t>
    </w:r>
    <w:r>
      <w:rPr>
        <w:rStyle w:val="16"/>
      </w:rPr>
      <w:fldChar w:fldCharType="begin"/>
    </w:r>
    <w:r>
      <w:rPr>
        <w:rStyle w:val="16"/>
      </w:rPr>
      <w:instrText xml:space="preserve"> PAGE </w:instrText>
    </w:r>
    <w:r>
      <w:rPr>
        <w:rStyle w:val="16"/>
      </w:rPr>
      <w:fldChar w:fldCharType="separate"/>
    </w:r>
    <w:r>
      <w:rPr>
        <w:rStyle w:val="16"/>
      </w:rPr>
      <w:t>2</w:t>
    </w:r>
    <w:r>
      <w:rPr>
        <w:rStyle w:val="16"/>
      </w:rPr>
      <w:fldChar w:fldCharType="end"/>
    </w:r>
    <w:r>
      <w:rPr>
        <w:rStyle w:val="16"/>
        <w:rFonts w:hint="eastAsia"/>
      </w:rPr>
      <w:t>页，共</w:t>
    </w:r>
    <w:r>
      <w:rPr>
        <w:rStyle w:val="16"/>
      </w:rPr>
      <w:fldChar w:fldCharType="begin"/>
    </w:r>
    <w:r>
      <w:rPr>
        <w:rStyle w:val="16"/>
      </w:rPr>
      <w:instrText xml:space="preserve"> NUMPAGES </w:instrText>
    </w:r>
    <w:r>
      <w:rPr>
        <w:rStyle w:val="16"/>
      </w:rPr>
      <w:fldChar w:fldCharType="separate"/>
    </w:r>
    <w:r>
      <w:rPr>
        <w:rStyle w:val="16"/>
      </w:rPr>
      <w:t>56</w:t>
    </w:r>
    <w:r>
      <w:rPr>
        <w:rStyle w:val="16"/>
      </w:rPr>
      <w:fldChar w:fldCharType="end"/>
    </w:r>
    <w:r>
      <w:rPr>
        <w:rStyle w:val="16"/>
        <w:rFonts w:hint="eastAsia"/>
      </w:rPr>
      <w:t xml:space="preserve">页         </w:t>
    </w:r>
    <w:r>
      <w:rPr>
        <w:rFonts w:hint="eastAsia"/>
      </w:rPr>
      <w:t>广东群升招标代理有限公司汕头分公司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F0C3CC">
    <w:pPr>
      <w:pStyle w:val="8"/>
      <w:ind w:firstLine="4140" w:firstLineChars="2300"/>
    </w:pPr>
    <w:r>
      <w:rPr>
        <w:rFonts w:hint="eastAsia"/>
      </w:rPr>
      <w:t>第</w:t>
    </w:r>
    <w:r>
      <w:rPr>
        <w:rStyle w:val="16"/>
      </w:rPr>
      <w:fldChar w:fldCharType="begin"/>
    </w:r>
    <w:r>
      <w:rPr>
        <w:rStyle w:val="16"/>
      </w:rPr>
      <w:instrText xml:space="preserve">PAGE  \* Arabic  \* MERGEFORMAT</w:instrText>
    </w:r>
    <w:r>
      <w:rPr>
        <w:rStyle w:val="16"/>
      </w:rPr>
      <w:fldChar w:fldCharType="separate"/>
    </w:r>
    <w:r>
      <w:rPr>
        <w:rStyle w:val="16"/>
        <w:lang w:val="zh-CN"/>
      </w:rPr>
      <w:t>56</w:t>
    </w:r>
    <w:r>
      <w:rPr>
        <w:rStyle w:val="16"/>
      </w:rPr>
      <w:fldChar w:fldCharType="end"/>
    </w:r>
    <w:r>
      <w:rPr>
        <w:rStyle w:val="16"/>
        <w:rFonts w:hint="eastAsia"/>
      </w:rPr>
      <w:t>页</w:t>
    </w:r>
    <w:r>
      <w:rPr>
        <w:rStyle w:val="16"/>
        <w:rFonts w:hint="eastAsia"/>
        <w:lang w:val="zh-CN"/>
      </w:rPr>
      <w:t>，</w:t>
    </w:r>
    <w:r>
      <w:rPr>
        <w:rStyle w:val="16"/>
        <w:rFonts w:hint="eastAsia"/>
      </w:rPr>
      <w:t>共</w:t>
    </w:r>
    <w:r>
      <w:fldChar w:fldCharType="begin"/>
    </w:r>
    <w:r>
      <w:instrText xml:space="preserve">NUMPAGES  \* Arabic  \* MERGEFORMAT</w:instrText>
    </w:r>
    <w:r>
      <w:fldChar w:fldCharType="separate"/>
    </w:r>
    <w:r>
      <w:rPr>
        <w:rStyle w:val="16"/>
        <w:lang w:val="zh-CN"/>
      </w:rPr>
      <w:t>56</w:t>
    </w:r>
    <w:r>
      <w:rPr>
        <w:rStyle w:val="16"/>
        <w:lang w:val="zh-CN"/>
      </w:rPr>
      <w:fldChar w:fldCharType="end"/>
    </w:r>
    <w:r>
      <w:rPr>
        <w:rStyle w:val="16"/>
        <w:rFonts w:hint="eastAsia"/>
      </w:rPr>
      <w:t>页</w:t>
    </w:r>
    <w:r>
      <w:rPr>
        <w:rFonts w:hint="eastAsia"/>
      </w:rPr>
      <w:t xml:space="preserve">             广东群升招标代理有限公司汕头分公司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CDBDEF">
    <w:pPr>
      <w:keepNext w:val="0"/>
      <w:keepLines w:val="0"/>
      <w:widowControl/>
      <w:suppressLineNumbers w:val="0"/>
      <w:pBdr>
        <w:bottom w:val="single" w:color="auto" w:sz="4" w:space="0"/>
      </w:pBdr>
      <w:jc w:val="left"/>
      <w:rPr>
        <w:rFonts w:hint="eastAsia" w:eastAsia="宋体"/>
        <w:bCs/>
        <w:color w:val="FF0000"/>
        <w:sz w:val="15"/>
        <w:szCs w:val="15"/>
        <w:lang w:eastAsia="zh-CN"/>
      </w:rPr>
    </w:pPr>
    <w:r>
      <w:rPr>
        <w:rFonts w:hint="eastAsia" w:ascii="宋体" w:hAnsi="宋体" w:cs="Arial"/>
        <w:bCs/>
        <w:color w:val="000000"/>
        <w:sz w:val="15"/>
        <w:szCs w:val="15"/>
      </w:rPr>
      <w:t>项目名称：</w:t>
    </w:r>
    <w:r>
      <w:rPr>
        <w:rFonts w:hint="eastAsia" w:ascii="宋体" w:hAnsi="宋体" w:cs="Arial"/>
        <w:bCs/>
        <w:color w:val="000000"/>
        <w:sz w:val="15"/>
        <w:szCs w:val="15"/>
        <w:lang w:val="en-US" w:eastAsia="zh-CN"/>
      </w:rPr>
      <w:t xml:space="preserve">南澳县博物馆消防维护修理及监控设备合并扩容项目   </w:t>
    </w:r>
    <w:r>
      <w:rPr>
        <w:rFonts w:hint="eastAsia" w:ascii="宋体" w:hAnsi="宋体" w:eastAsia="宋体" w:cs="宋体"/>
        <w:color w:val="000000"/>
        <w:kern w:val="0"/>
        <w:sz w:val="15"/>
        <w:szCs w:val="15"/>
        <w:lang w:val="en-US" w:eastAsia="zh-CN" w:bidi="ar"/>
      </w:rPr>
      <w:t xml:space="preserve">      </w:t>
    </w:r>
    <w:r>
      <w:rPr>
        <w:rFonts w:hint="eastAsia" w:ascii="宋体" w:hAnsi="宋体" w:cs="Arial"/>
        <w:bCs/>
        <w:color w:val="000000"/>
        <w:sz w:val="15"/>
        <w:szCs w:val="15"/>
      </w:rPr>
      <w:t xml:space="preserve">    </w:t>
    </w:r>
    <w:r>
      <w:rPr>
        <w:rFonts w:hint="eastAsia" w:ascii="宋体" w:hAnsi="宋体" w:cs="Arial"/>
        <w:bCs/>
        <w:color w:val="000000"/>
        <w:sz w:val="15"/>
        <w:szCs w:val="15"/>
        <w:lang w:val="en-US" w:eastAsia="zh-CN"/>
      </w:rPr>
      <w:t xml:space="preserve">                         </w:t>
    </w:r>
    <w:r>
      <w:rPr>
        <w:rFonts w:hint="eastAsia" w:ascii="宋体" w:hAnsi="宋体" w:cs="Arial"/>
        <w:bCs/>
        <w:color w:val="000000"/>
        <w:sz w:val="15"/>
        <w:szCs w:val="15"/>
      </w:rPr>
      <w:t>项目编号：</w:t>
    </w:r>
    <w:r>
      <w:rPr>
        <w:rFonts w:hint="eastAsia" w:ascii="宋体" w:hAnsi="宋体" w:cs="Arial"/>
        <w:bCs/>
        <w:color w:val="000000"/>
        <w:sz w:val="15"/>
        <w:szCs w:val="15"/>
        <w:lang w:eastAsia="zh-CN"/>
      </w:rPr>
      <w:t>GDQSST2024JC12002S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109EDA">
    <w:pPr>
      <w:keepNext w:val="0"/>
      <w:keepLines w:val="0"/>
      <w:widowControl/>
      <w:suppressLineNumbers w:val="0"/>
      <w:pBdr>
        <w:bottom w:val="single" w:color="auto" w:sz="4" w:space="0"/>
      </w:pBdr>
      <w:jc w:val="left"/>
      <w:rPr>
        <w:rFonts w:hint="eastAsia" w:ascii="宋体" w:hAnsi="宋体" w:eastAsia="宋体" w:cs="宋体"/>
        <w:sz w:val="15"/>
        <w:szCs w:val="15"/>
        <w:lang w:eastAsia="zh-CN"/>
      </w:rPr>
    </w:pPr>
    <w:r>
      <w:rPr>
        <w:rFonts w:hint="eastAsia" w:ascii="宋体" w:hAnsi="宋体" w:eastAsia="宋体" w:cs="宋体"/>
        <w:sz w:val="15"/>
        <w:szCs w:val="15"/>
      </w:rPr>
      <w:t>项目名称：</w:t>
    </w:r>
    <w:r>
      <w:rPr>
        <w:rFonts w:hint="eastAsia" w:ascii="宋体" w:hAnsi="宋体" w:cs="宋体"/>
        <w:color w:val="000000"/>
        <w:kern w:val="0"/>
        <w:sz w:val="15"/>
        <w:szCs w:val="15"/>
        <w:lang w:val="en-US" w:eastAsia="zh-CN" w:bidi="ar"/>
      </w:rPr>
      <w:t>南澳县博物馆消防维护修理及监控设备合并扩容项目</w:t>
    </w:r>
    <w:r>
      <w:rPr>
        <w:rFonts w:hint="eastAsia" w:ascii="宋体" w:hAnsi="宋体" w:eastAsia="宋体" w:cs="宋体"/>
        <w:color w:val="000000"/>
        <w:kern w:val="0"/>
        <w:sz w:val="15"/>
        <w:szCs w:val="15"/>
        <w:lang w:val="en-US" w:eastAsia="zh-CN" w:bidi="ar"/>
      </w:rPr>
      <w:t xml:space="preserve">              </w:t>
    </w:r>
    <w:r>
      <w:rPr>
        <w:rFonts w:hint="eastAsia" w:ascii="宋体" w:hAnsi="宋体" w:eastAsia="宋体" w:cs="宋体"/>
        <w:color w:val="000000"/>
        <w:sz w:val="15"/>
        <w:szCs w:val="15"/>
      </w:rPr>
      <w:t xml:space="preserve">     </w:t>
    </w:r>
    <w:r>
      <w:rPr>
        <w:rFonts w:hint="eastAsia" w:ascii="宋体" w:hAnsi="宋体" w:cs="宋体"/>
        <w:color w:val="000000"/>
        <w:sz w:val="15"/>
        <w:szCs w:val="15"/>
        <w:lang w:val="en-US" w:eastAsia="zh-CN"/>
      </w:rPr>
      <w:t xml:space="preserve">                      </w:t>
    </w:r>
    <w:r>
      <w:rPr>
        <w:rFonts w:hint="eastAsia" w:ascii="宋体" w:hAnsi="宋体" w:eastAsia="宋体" w:cs="宋体"/>
        <w:color w:val="000000"/>
        <w:sz w:val="15"/>
        <w:szCs w:val="15"/>
      </w:rPr>
      <w:t xml:space="preserve"> 项目编号：</w:t>
    </w:r>
    <w:r>
      <w:rPr>
        <w:rFonts w:hint="eastAsia" w:ascii="宋体" w:hAnsi="宋体" w:cs="宋体"/>
        <w:color w:val="000000"/>
        <w:sz w:val="15"/>
        <w:szCs w:val="15"/>
        <w:lang w:eastAsia="zh-CN"/>
      </w:rPr>
      <w:t>GDQSST2024JC12002S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044E2B"/>
    <w:multiLevelType w:val="singleLevel"/>
    <w:tmpl w:val="AE044E2B"/>
    <w:lvl w:ilvl="0" w:tentative="0">
      <w:start w:val="1"/>
      <w:numFmt w:val="decimal"/>
      <w:suff w:val="space"/>
      <w:lvlText w:val="%1."/>
      <w:lvlJc w:val="left"/>
    </w:lvl>
  </w:abstractNum>
  <w:abstractNum w:abstractNumId="1">
    <w:nsid w:val="00000012"/>
    <w:multiLevelType w:val="multilevel"/>
    <w:tmpl w:val="00000012"/>
    <w:lvl w:ilvl="0" w:tentative="0">
      <w:start w:val="1"/>
      <w:numFmt w:val="chineseCountingThousand"/>
      <w:lvlText w:val="%1."/>
      <w:lvlJc w:val="left"/>
      <w:pPr>
        <w:ind w:left="425" w:hanging="425"/>
      </w:pPr>
      <w:rPr>
        <w:rFonts w:hint="eastAsia"/>
      </w:r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2">
    <w:nsid w:val="044619B3"/>
    <w:multiLevelType w:val="multilevel"/>
    <w:tmpl w:val="044619B3"/>
    <w:lvl w:ilvl="0" w:tentative="0">
      <w:start w:val="1"/>
      <w:numFmt w:val="decimal"/>
      <w:lvlText w:val="%1."/>
      <w:lvlJc w:val="left"/>
      <w:pPr>
        <w:tabs>
          <w:tab w:val="left" w:pos="420"/>
        </w:tabs>
        <w:ind w:left="420" w:hanging="420"/>
      </w:pPr>
      <w:rPr>
        <w:rFonts w:hint="eastAsia" w:ascii="宋体" w:hAnsi="宋体" w:eastAsia="宋体"/>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90662F7"/>
    <w:multiLevelType w:val="multilevel"/>
    <w:tmpl w:val="090662F7"/>
    <w:lvl w:ilvl="0" w:tentative="0">
      <w:start w:val="2"/>
      <w:numFmt w:val="chineseCountingThousand"/>
      <w:lvlText w:val="%1、"/>
      <w:lvlJc w:val="left"/>
      <w:pPr>
        <w:ind w:left="78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FB7143A"/>
    <w:multiLevelType w:val="multilevel"/>
    <w:tmpl w:val="0FB7143A"/>
    <w:lvl w:ilvl="0" w:tentative="0">
      <w:start w:val="1"/>
      <w:numFmt w:val="chineseCountingThousand"/>
      <w:lvlText w:val="%1、"/>
      <w:lvlJc w:val="left"/>
      <w:pPr>
        <w:tabs>
          <w:tab w:val="left" w:pos="1200"/>
        </w:tabs>
        <w:ind w:left="1200" w:hanging="360"/>
      </w:pPr>
      <w:rPr>
        <w:rFonts w:hint="eastAsia"/>
        <w:b w:val="0"/>
        <w:color w:val="auto"/>
      </w:rPr>
    </w:lvl>
    <w:lvl w:ilvl="1" w:tentative="0">
      <w:start w:val="1"/>
      <w:numFmt w:val="decimal"/>
      <w:lvlText w:val="%2．"/>
      <w:lvlJc w:val="left"/>
      <w:pPr>
        <w:tabs>
          <w:tab w:val="left" w:pos="1620"/>
        </w:tabs>
        <w:ind w:left="1620" w:hanging="360"/>
      </w:pPr>
      <w:rPr>
        <w:rFonts w:hint="default" w:ascii="宋体" w:hAnsi="宋体" w:eastAsia="宋体" w:cs="Times New Roman"/>
      </w:rPr>
    </w:lvl>
    <w:lvl w:ilvl="2" w:tentative="0">
      <w:start w:val="1"/>
      <w:numFmt w:val="decimal"/>
      <w:lvlText w:val="%3."/>
      <w:lvlJc w:val="left"/>
      <w:pPr>
        <w:tabs>
          <w:tab w:val="left" w:pos="2040"/>
        </w:tabs>
        <w:ind w:left="2040" w:hanging="360"/>
      </w:pPr>
      <w:rPr>
        <w:rFonts w:hint="default"/>
      </w:rPr>
    </w:lvl>
    <w:lvl w:ilvl="3" w:tentative="0">
      <w:start w:val="1"/>
      <w:numFmt w:val="decimal"/>
      <w:lvlText w:val="%4."/>
      <w:lvlJc w:val="left"/>
      <w:pPr>
        <w:tabs>
          <w:tab w:val="left" w:pos="2520"/>
        </w:tabs>
        <w:ind w:left="2520" w:hanging="420"/>
      </w:pPr>
    </w:lvl>
    <w:lvl w:ilvl="4" w:tentative="0">
      <w:start w:val="1"/>
      <w:numFmt w:val="lowerLetter"/>
      <w:lvlText w:val="%5)"/>
      <w:lvlJc w:val="left"/>
      <w:pPr>
        <w:tabs>
          <w:tab w:val="left" w:pos="2940"/>
        </w:tabs>
        <w:ind w:left="2940" w:hanging="420"/>
      </w:pPr>
    </w:lvl>
    <w:lvl w:ilvl="5" w:tentative="0">
      <w:start w:val="1"/>
      <w:numFmt w:val="lowerRoman"/>
      <w:lvlText w:val="%6."/>
      <w:lvlJc w:val="right"/>
      <w:pPr>
        <w:tabs>
          <w:tab w:val="left" w:pos="3360"/>
        </w:tabs>
        <w:ind w:left="3360" w:hanging="420"/>
      </w:pPr>
    </w:lvl>
    <w:lvl w:ilvl="6" w:tentative="0">
      <w:start w:val="1"/>
      <w:numFmt w:val="decimal"/>
      <w:lvlText w:val="%7."/>
      <w:lvlJc w:val="left"/>
      <w:pPr>
        <w:tabs>
          <w:tab w:val="left" w:pos="3780"/>
        </w:tabs>
        <w:ind w:left="3780" w:hanging="420"/>
      </w:pPr>
    </w:lvl>
    <w:lvl w:ilvl="7" w:tentative="0">
      <w:start w:val="1"/>
      <w:numFmt w:val="lowerLetter"/>
      <w:lvlText w:val="%8)"/>
      <w:lvlJc w:val="left"/>
      <w:pPr>
        <w:tabs>
          <w:tab w:val="left" w:pos="4200"/>
        </w:tabs>
        <w:ind w:left="4200" w:hanging="420"/>
      </w:pPr>
    </w:lvl>
    <w:lvl w:ilvl="8" w:tentative="0">
      <w:start w:val="1"/>
      <w:numFmt w:val="lowerRoman"/>
      <w:lvlText w:val="%9."/>
      <w:lvlJc w:val="right"/>
      <w:pPr>
        <w:tabs>
          <w:tab w:val="left" w:pos="4620"/>
        </w:tabs>
        <w:ind w:left="4620" w:hanging="420"/>
      </w:pPr>
    </w:lvl>
  </w:abstractNum>
  <w:abstractNum w:abstractNumId="5">
    <w:nsid w:val="117B4314"/>
    <w:multiLevelType w:val="multilevel"/>
    <w:tmpl w:val="117B4314"/>
    <w:lvl w:ilvl="0" w:tentative="0">
      <w:start w:val="1"/>
      <w:numFmt w:val="decimal"/>
      <w:lvlText w:val="%1."/>
      <w:lvlJc w:val="left"/>
      <w:pPr>
        <w:ind w:left="425" w:hanging="425"/>
      </w:pPr>
      <w:rPr>
        <w:rFonts w:ascii="宋体" w:hAnsi="宋体" w:eastAsia="宋体"/>
      </w:rPr>
    </w:lvl>
    <w:lvl w:ilvl="1" w:tentative="0">
      <w:start w:val="1"/>
      <w:numFmt w:val="decimal"/>
      <w:lvlText w:val="%1.%2."/>
      <w:lvlJc w:val="left"/>
      <w:pPr>
        <w:ind w:left="567" w:hanging="567"/>
      </w:pPr>
      <w:rPr>
        <w:rFonts w:ascii="宋体" w:hAnsi="宋体" w:eastAsia="宋体"/>
      </w:r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6">
    <w:nsid w:val="13CF1A00"/>
    <w:multiLevelType w:val="multilevel"/>
    <w:tmpl w:val="13CF1A00"/>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1D910AE3"/>
    <w:multiLevelType w:val="multilevel"/>
    <w:tmpl w:val="1D910AE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20C2760F"/>
    <w:multiLevelType w:val="multilevel"/>
    <w:tmpl w:val="20C2760F"/>
    <w:lvl w:ilvl="0" w:tentative="0">
      <w:start w:val="1"/>
      <w:numFmt w:val="decimal"/>
      <w:lvlText w:val="%1."/>
      <w:lvlJc w:val="left"/>
      <w:pPr>
        <w:ind w:left="425" w:hanging="425"/>
      </w:pPr>
      <w:rPr>
        <w:rFonts w:hint="eastAsia"/>
      </w:rPr>
    </w:lvl>
    <w:lvl w:ilvl="1" w:tentative="0">
      <w:start w:val="1"/>
      <w:numFmt w:val="decimal"/>
      <w:lvlText w:val="%2."/>
      <w:lvlJc w:val="left"/>
      <w:pPr>
        <w:ind w:left="567" w:hanging="567"/>
      </w:pPr>
      <w:rPr>
        <w:rFonts w:hint="eastAsia"/>
        <w:color w:val="auto"/>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
    <w:nsid w:val="24212C01"/>
    <w:multiLevelType w:val="multilevel"/>
    <w:tmpl w:val="24212C01"/>
    <w:lvl w:ilvl="0" w:tentative="0">
      <w:start w:val="1"/>
      <w:numFmt w:val="chineseCountingThousand"/>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rPr>
        <w:rFonts w:hint="default" w:ascii="宋体" w:hAnsi="宋体" w:eastAsia="宋体" w:cs="Times New Roman"/>
        <w:b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24A61ACD"/>
    <w:multiLevelType w:val="multilevel"/>
    <w:tmpl w:val="24A61ACD"/>
    <w:lvl w:ilvl="0" w:tentative="0">
      <w:start w:val="1"/>
      <w:numFmt w:val="decimal"/>
      <w:lvlText w:val="%1"/>
      <w:lvlJc w:val="center"/>
      <w:pPr>
        <w:tabs>
          <w:tab w:val="left" w:pos="142"/>
        </w:tabs>
        <w:ind w:left="142" w:firstLine="3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25776E03"/>
    <w:multiLevelType w:val="multilevel"/>
    <w:tmpl w:val="25776E03"/>
    <w:lvl w:ilvl="0" w:tentative="0">
      <w:start w:val="1"/>
      <w:numFmt w:val="decimal"/>
      <w:lvlText w:val="格式%1"/>
      <w:lvlJc w:val="left"/>
      <w:pPr>
        <w:tabs>
          <w:tab w:val="left" w:pos="780"/>
        </w:tabs>
        <w:ind w:left="780" w:hanging="420"/>
      </w:pPr>
      <w:rPr>
        <w:rFonts w:hint="eastAsia" w:ascii="仿宋_GB2312" w:hAnsi="MS Mincho" w:eastAsia="仿宋_GB2312"/>
        <w:b/>
        <w:color w:val="auto"/>
        <w:sz w:val="28"/>
        <w:szCs w:val="28"/>
      </w:rPr>
    </w:lvl>
    <w:lvl w:ilvl="1" w:tentative="0">
      <w:start w:val="1"/>
      <w:numFmt w:val="lowerLetter"/>
      <w:lvlText w:val="%2)"/>
      <w:lvlJc w:val="left"/>
      <w:pPr>
        <w:tabs>
          <w:tab w:val="left" w:pos="1200"/>
        </w:tabs>
        <w:ind w:left="1200" w:hanging="420"/>
      </w:p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12">
    <w:nsid w:val="295E43D2"/>
    <w:multiLevelType w:val="multilevel"/>
    <w:tmpl w:val="295E43D2"/>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2A077816"/>
    <w:multiLevelType w:val="multilevel"/>
    <w:tmpl w:val="2A077816"/>
    <w:lvl w:ilvl="0" w:tentative="0">
      <w:start w:val="1"/>
      <w:numFmt w:val="decimal"/>
      <w:lvlText w:val="%1"/>
      <w:lvlJc w:val="left"/>
      <w:pPr>
        <w:ind w:left="360" w:hanging="360"/>
      </w:pPr>
      <w:rPr>
        <w:rFonts w:hint="default"/>
      </w:rPr>
    </w:lvl>
    <w:lvl w:ilvl="1" w:tentative="0">
      <w:start w:val="1"/>
      <w:numFmt w:val="decimal"/>
      <w:lvlText w:val="%1.%2"/>
      <w:lvlJc w:val="left"/>
      <w:pPr>
        <w:ind w:left="885" w:hanging="360"/>
      </w:pPr>
      <w:rPr>
        <w:rFonts w:hint="default"/>
      </w:rPr>
    </w:lvl>
    <w:lvl w:ilvl="2" w:tentative="0">
      <w:start w:val="1"/>
      <w:numFmt w:val="decimal"/>
      <w:lvlText w:val="%1.%2.%3"/>
      <w:lvlJc w:val="left"/>
      <w:pPr>
        <w:ind w:left="1770" w:hanging="720"/>
      </w:pPr>
      <w:rPr>
        <w:rFonts w:hint="default"/>
      </w:rPr>
    </w:lvl>
    <w:lvl w:ilvl="3" w:tentative="0">
      <w:start w:val="1"/>
      <w:numFmt w:val="decimal"/>
      <w:lvlText w:val="%1.%2.%3.%4"/>
      <w:lvlJc w:val="left"/>
      <w:pPr>
        <w:ind w:left="2295" w:hanging="720"/>
      </w:pPr>
      <w:rPr>
        <w:rFonts w:hint="default"/>
      </w:rPr>
    </w:lvl>
    <w:lvl w:ilvl="4" w:tentative="0">
      <w:start w:val="1"/>
      <w:numFmt w:val="decimal"/>
      <w:lvlText w:val="%1.%2.%3.%4.%5"/>
      <w:lvlJc w:val="left"/>
      <w:pPr>
        <w:ind w:left="3180" w:hanging="1080"/>
      </w:pPr>
      <w:rPr>
        <w:rFonts w:hint="default"/>
      </w:rPr>
    </w:lvl>
    <w:lvl w:ilvl="5" w:tentative="0">
      <w:start w:val="1"/>
      <w:numFmt w:val="decimal"/>
      <w:lvlText w:val="%1.%2.%3.%4.%5.%6"/>
      <w:lvlJc w:val="left"/>
      <w:pPr>
        <w:ind w:left="3705" w:hanging="1080"/>
      </w:pPr>
      <w:rPr>
        <w:rFonts w:hint="default"/>
      </w:rPr>
    </w:lvl>
    <w:lvl w:ilvl="6" w:tentative="0">
      <w:start w:val="1"/>
      <w:numFmt w:val="decimal"/>
      <w:lvlText w:val="%1.%2.%3.%4.%5.%6.%7"/>
      <w:lvlJc w:val="left"/>
      <w:pPr>
        <w:ind w:left="4230" w:hanging="1080"/>
      </w:pPr>
      <w:rPr>
        <w:rFonts w:hint="default"/>
      </w:rPr>
    </w:lvl>
    <w:lvl w:ilvl="7" w:tentative="0">
      <w:start w:val="1"/>
      <w:numFmt w:val="decimal"/>
      <w:lvlText w:val="%1.%2.%3.%4.%5.%6.%7.%8"/>
      <w:lvlJc w:val="left"/>
      <w:pPr>
        <w:ind w:left="5115" w:hanging="1440"/>
      </w:pPr>
      <w:rPr>
        <w:rFonts w:hint="default"/>
      </w:rPr>
    </w:lvl>
    <w:lvl w:ilvl="8" w:tentative="0">
      <w:start w:val="1"/>
      <w:numFmt w:val="decimal"/>
      <w:lvlText w:val="%1.%2.%3.%4.%5.%6.%7.%8.%9"/>
      <w:lvlJc w:val="left"/>
      <w:pPr>
        <w:ind w:left="5640" w:hanging="1440"/>
      </w:pPr>
      <w:rPr>
        <w:rFonts w:hint="default"/>
      </w:rPr>
    </w:lvl>
  </w:abstractNum>
  <w:abstractNum w:abstractNumId="14">
    <w:nsid w:val="334649CF"/>
    <w:multiLevelType w:val="multilevel"/>
    <w:tmpl w:val="334649CF"/>
    <w:lvl w:ilvl="0" w:tentative="0">
      <w:start w:val="1"/>
      <w:numFmt w:val="decimal"/>
      <w:lvlText w:val="%1."/>
      <w:lvlJc w:val="center"/>
      <w:pPr>
        <w:ind w:left="624" w:hanging="624"/>
      </w:pPr>
      <w:rPr>
        <w:rFonts w:hint="eastAsia" w:ascii="宋体" w:hAnsi="宋体" w:eastAsia="宋体"/>
        <w:b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39287919"/>
    <w:multiLevelType w:val="multilevel"/>
    <w:tmpl w:val="39287919"/>
    <w:lvl w:ilvl="0" w:tentative="0">
      <w:start w:val="1"/>
      <w:numFmt w:val="decimal"/>
      <w:lvlText w:val="%1."/>
      <w:lvlJc w:val="left"/>
      <w:pPr>
        <w:tabs>
          <w:tab w:val="left" w:pos="420"/>
        </w:tabs>
        <w:ind w:left="420" w:hanging="420"/>
      </w:pPr>
      <w:rPr>
        <w:b w:val="0"/>
        <w:i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4501719F"/>
    <w:multiLevelType w:val="multilevel"/>
    <w:tmpl w:val="4501719F"/>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46A61FC5"/>
    <w:multiLevelType w:val="multilevel"/>
    <w:tmpl w:val="46A61FC5"/>
    <w:lvl w:ilvl="0" w:tentative="0">
      <w:start w:val="1"/>
      <w:numFmt w:val="decimal"/>
      <w:lvlText w:val="%1."/>
      <w:lvlJc w:val="left"/>
      <w:pPr>
        <w:ind w:left="420" w:hanging="420"/>
      </w:pPr>
      <w:rPr>
        <w:rFonts w:hint="default"/>
        <w:color w:val="000000" w:themeColor="text1"/>
        <w:sz w:val="21"/>
        <w:szCs w:val="21"/>
        <w14:textFill>
          <w14:solidFill>
            <w14:schemeClr w14:val="tx1"/>
          </w14:solidFill>
        </w14:textFill>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4D4A86E0"/>
    <w:multiLevelType w:val="singleLevel"/>
    <w:tmpl w:val="4D4A86E0"/>
    <w:lvl w:ilvl="0" w:tentative="0">
      <w:start w:val="1"/>
      <w:numFmt w:val="decimal"/>
      <w:suff w:val="nothing"/>
      <w:lvlText w:val="%1、"/>
      <w:lvlJc w:val="left"/>
    </w:lvl>
  </w:abstractNum>
  <w:abstractNum w:abstractNumId="19">
    <w:nsid w:val="4D8940A5"/>
    <w:multiLevelType w:val="multilevel"/>
    <w:tmpl w:val="4D8940A5"/>
    <w:lvl w:ilvl="0" w:tentative="0">
      <w:start w:val="1"/>
      <w:numFmt w:val="decimal"/>
      <w:lvlText w:val="%1."/>
      <w:lvlJc w:val="left"/>
      <w:pPr>
        <w:tabs>
          <w:tab w:val="left" w:pos="425"/>
        </w:tabs>
        <w:ind w:left="425" w:hanging="425"/>
      </w:pPr>
      <w:rPr>
        <w:rFonts w:ascii="宋体" w:hAnsi="宋体" w:eastAsia="宋体"/>
        <w:color w:val="auto"/>
      </w:r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20">
    <w:nsid w:val="50675357"/>
    <w:multiLevelType w:val="multilevel"/>
    <w:tmpl w:val="50675357"/>
    <w:lvl w:ilvl="0" w:tentative="0">
      <w:start w:val="1"/>
      <w:numFmt w:val="decimal"/>
      <w:lvlText w:val="%1."/>
      <w:lvlJc w:val="left"/>
      <w:pPr>
        <w:tabs>
          <w:tab w:val="left" w:pos="425"/>
        </w:tabs>
        <w:ind w:left="425" w:hanging="425"/>
      </w:pPr>
      <w:rPr>
        <w:rFonts w:hint="eastAsia" w:ascii="宋体" w:hAnsi="宋体" w:eastAsia="宋体"/>
        <w:b w:val="0"/>
        <w:strike w:val="0"/>
      </w:rPr>
    </w:lvl>
    <w:lvl w:ilvl="1" w:tentative="0">
      <w:start w:val="1"/>
      <w:numFmt w:val="decimal"/>
      <w:lvlText w:val="%1.%2."/>
      <w:lvlJc w:val="left"/>
      <w:pPr>
        <w:tabs>
          <w:tab w:val="left" w:pos="567"/>
        </w:tabs>
        <w:ind w:left="567" w:hanging="567"/>
      </w:pPr>
      <w:rPr>
        <w:rFonts w:ascii="宋体" w:hAnsi="宋体" w:eastAsia="宋体"/>
      </w:rPr>
    </w:lvl>
    <w:lvl w:ilvl="2" w:tentative="0">
      <w:start w:val="1"/>
      <w:numFmt w:val="decimal"/>
      <w:lvlText w:val="%1.%2.%3."/>
      <w:lvlJc w:val="left"/>
      <w:pPr>
        <w:tabs>
          <w:tab w:val="left" w:pos="709"/>
        </w:tabs>
        <w:ind w:left="709" w:hanging="709"/>
      </w:pPr>
      <w:rPr>
        <w:rFonts w:asciiTheme="majorEastAsia" w:hAnsiTheme="majorEastAsia" w:eastAsiaTheme="majorEastAsia"/>
      </w:r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21">
    <w:nsid w:val="51242382"/>
    <w:multiLevelType w:val="multilevel"/>
    <w:tmpl w:val="51242382"/>
    <w:lvl w:ilvl="0" w:tentative="0">
      <w:start w:val="1"/>
      <w:numFmt w:val="decimal"/>
      <w:lvlText w:val="%1"/>
      <w:lvlJc w:val="left"/>
      <w:pPr>
        <w:tabs>
          <w:tab w:val="left" w:pos="360"/>
        </w:tabs>
        <w:ind w:left="360" w:hanging="360"/>
      </w:pPr>
      <w:rPr>
        <w:rFonts w:hint="eastAsia" w:ascii="宋体" w:hAnsi="宋体" w:eastAsia="宋体" w:cs="Times New Roman"/>
        <w:b/>
        <w:color w:val="auto"/>
      </w:rPr>
    </w:lvl>
    <w:lvl w:ilvl="1" w:tentative="0">
      <w:start w:val="1"/>
      <w:numFmt w:val="decimal"/>
      <w:lvlText w:val="%1.%2"/>
      <w:lvlJc w:val="left"/>
      <w:pPr>
        <w:tabs>
          <w:tab w:val="left" w:pos="360"/>
        </w:tabs>
        <w:ind w:left="360" w:hanging="360"/>
      </w:pPr>
      <w:rPr>
        <w:rFonts w:hint="default" w:ascii="宋体" w:hAnsi="宋体" w:eastAsia="宋体" w:cs="Times New Roman"/>
        <w:b w:val="0"/>
        <w:strike w:val="0"/>
        <w:color w:val="auto"/>
        <w:sz w:val="21"/>
        <w:szCs w:val="21"/>
      </w:rPr>
    </w:lvl>
    <w:lvl w:ilvl="2" w:tentative="0">
      <w:start w:val="1"/>
      <w:numFmt w:val="decimal"/>
      <w:lvlText w:val="%1.%2.%3"/>
      <w:lvlJc w:val="left"/>
      <w:pPr>
        <w:tabs>
          <w:tab w:val="left" w:pos="720"/>
        </w:tabs>
        <w:ind w:left="720" w:hanging="720"/>
      </w:pPr>
      <w:rPr>
        <w:rFonts w:hint="default" w:ascii="宋体" w:hAnsi="宋体" w:eastAsia="宋体" w:cs="Times New Roman"/>
        <w:b w:val="0"/>
      </w:rPr>
    </w:lvl>
    <w:lvl w:ilvl="3" w:tentative="0">
      <w:start w:val="1"/>
      <w:numFmt w:val="decimal"/>
      <w:lvlText w:val="%1.%2.%3.%4"/>
      <w:lvlJc w:val="left"/>
      <w:pPr>
        <w:tabs>
          <w:tab w:val="left" w:pos="720"/>
        </w:tabs>
        <w:ind w:left="720" w:hanging="720"/>
      </w:pPr>
      <w:rPr>
        <w:rFonts w:hint="default" w:ascii="宋体" w:hAnsi="宋体" w:eastAsia="宋体"/>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abstractNum w:abstractNumId="22">
    <w:nsid w:val="53995528"/>
    <w:multiLevelType w:val="multilevel"/>
    <w:tmpl w:val="53995528"/>
    <w:lvl w:ilvl="0" w:tentative="0">
      <w:start w:val="1"/>
      <w:numFmt w:val="decimal"/>
      <w:lvlText w:val="%1."/>
      <w:lvlJc w:val="center"/>
      <w:pPr>
        <w:ind w:left="624" w:hanging="624"/>
      </w:pPr>
      <w:rPr>
        <w:rFonts w:hint="eastAsia" w:ascii="宋体" w:hAnsi="宋体" w:eastAsia="宋体"/>
        <w:b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53DF6434"/>
    <w:multiLevelType w:val="multilevel"/>
    <w:tmpl w:val="53DF6434"/>
    <w:lvl w:ilvl="0" w:tentative="0">
      <w:start w:val="1"/>
      <w:numFmt w:val="decimal"/>
      <w:lvlText w:val="%1"/>
      <w:lvlJc w:val="center"/>
      <w:pPr>
        <w:tabs>
          <w:tab w:val="left" w:pos="142"/>
        </w:tabs>
        <w:ind w:left="142" w:firstLine="3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4">
    <w:nsid w:val="57DC5486"/>
    <w:multiLevelType w:val="multilevel"/>
    <w:tmpl w:val="57DC5486"/>
    <w:lvl w:ilvl="0" w:tentative="0">
      <w:start w:val="1"/>
      <w:numFmt w:val="japaneseCounting"/>
      <w:lvlText w:val="（%1）"/>
      <w:lvlJc w:val="left"/>
      <w:pPr>
        <w:tabs>
          <w:tab w:val="left" w:pos="1320"/>
        </w:tabs>
        <w:ind w:left="1320" w:hanging="720"/>
      </w:pPr>
      <w:rPr>
        <w:rFonts w:hint="eastAsia"/>
      </w:rPr>
    </w:lvl>
    <w:lvl w:ilvl="1" w:tentative="0">
      <w:start w:val="1"/>
      <w:numFmt w:val="lowerLetter"/>
      <w:lvlText w:val="%2)"/>
      <w:lvlJc w:val="left"/>
      <w:pPr>
        <w:tabs>
          <w:tab w:val="left" w:pos="1440"/>
        </w:tabs>
        <w:ind w:left="1440" w:hanging="420"/>
      </w:pPr>
    </w:lvl>
    <w:lvl w:ilvl="2" w:tentative="0">
      <w:start w:val="1"/>
      <w:numFmt w:val="lowerRoman"/>
      <w:lvlText w:val="%3."/>
      <w:lvlJc w:val="right"/>
      <w:pPr>
        <w:tabs>
          <w:tab w:val="left" w:pos="1860"/>
        </w:tabs>
        <w:ind w:left="1860" w:hanging="420"/>
      </w:pPr>
    </w:lvl>
    <w:lvl w:ilvl="3" w:tentative="0">
      <w:start w:val="1"/>
      <w:numFmt w:val="decimal"/>
      <w:lvlText w:val="%4."/>
      <w:lvlJc w:val="left"/>
      <w:pPr>
        <w:tabs>
          <w:tab w:val="left" w:pos="2280"/>
        </w:tabs>
        <w:ind w:left="2280" w:hanging="420"/>
      </w:pPr>
    </w:lvl>
    <w:lvl w:ilvl="4" w:tentative="0">
      <w:start w:val="1"/>
      <w:numFmt w:val="lowerLetter"/>
      <w:lvlText w:val="%5)"/>
      <w:lvlJc w:val="left"/>
      <w:pPr>
        <w:tabs>
          <w:tab w:val="left" w:pos="2700"/>
        </w:tabs>
        <w:ind w:left="2700" w:hanging="420"/>
      </w:pPr>
    </w:lvl>
    <w:lvl w:ilvl="5" w:tentative="0">
      <w:start w:val="1"/>
      <w:numFmt w:val="lowerRoman"/>
      <w:lvlText w:val="%6."/>
      <w:lvlJc w:val="right"/>
      <w:pPr>
        <w:tabs>
          <w:tab w:val="left" w:pos="3120"/>
        </w:tabs>
        <w:ind w:left="3120" w:hanging="420"/>
      </w:pPr>
    </w:lvl>
    <w:lvl w:ilvl="6" w:tentative="0">
      <w:start w:val="1"/>
      <w:numFmt w:val="decimal"/>
      <w:lvlText w:val="%7."/>
      <w:lvlJc w:val="left"/>
      <w:pPr>
        <w:tabs>
          <w:tab w:val="left" w:pos="3540"/>
        </w:tabs>
        <w:ind w:left="3540" w:hanging="420"/>
      </w:pPr>
    </w:lvl>
    <w:lvl w:ilvl="7" w:tentative="0">
      <w:start w:val="1"/>
      <w:numFmt w:val="lowerLetter"/>
      <w:lvlText w:val="%8)"/>
      <w:lvlJc w:val="left"/>
      <w:pPr>
        <w:tabs>
          <w:tab w:val="left" w:pos="3960"/>
        </w:tabs>
        <w:ind w:left="3960" w:hanging="420"/>
      </w:pPr>
    </w:lvl>
    <w:lvl w:ilvl="8" w:tentative="0">
      <w:start w:val="1"/>
      <w:numFmt w:val="lowerRoman"/>
      <w:lvlText w:val="%9."/>
      <w:lvlJc w:val="right"/>
      <w:pPr>
        <w:tabs>
          <w:tab w:val="left" w:pos="4380"/>
        </w:tabs>
        <w:ind w:left="4380" w:hanging="420"/>
      </w:pPr>
    </w:lvl>
  </w:abstractNum>
  <w:abstractNum w:abstractNumId="25">
    <w:nsid w:val="5E662A9E"/>
    <w:multiLevelType w:val="multilevel"/>
    <w:tmpl w:val="5E662A9E"/>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5F14585C"/>
    <w:multiLevelType w:val="multilevel"/>
    <w:tmpl w:val="5F14585C"/>
    <w:lvl w:ilvl="0" w:tentative="0">
      <w:start w:val="1"/>
      <w:numFmt w:val="decimal"/>
      <w:lvlText w:val="%1."/>
      <w:lvlJc w:val="left"/>
      <w:pPr>
        <w:ind w:left="425" w:hanging="425"/>
      </w:pPr>
      <w:rPr>
        <w:rFonts w:hint="eastAsia"/>
        <w:b w:val="0"/>
      </w:rPr>
    </w:lvl>
    <w:lvl w:ilvl="1" w:tentative="0">
      <w:start w:val="2"/>
      <w:numFmt w:val="decimal"/>
      <w:lvlText w:val="6.%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7">
    <w:nsid w:val="6C73457C"/>
    <w:multiLevelType w:val="multilevel"/>
    <w:tmpl w:val="6C73457C"/>
    <w:lvl w:ilvl="0" w:tentative="0">
      <w:start w:val="1"/>
      <w:numFmt w:val="decimal"/>
      <w:lvlText w:val="%1."/>
      <w:lvlJc w:val="left"/>
      <w:pPr>
        <w:ind w:left="420" w:hanging="420"/>
      </w:pPr>
      <w:rPr>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78D54744"/>
    <w:multiLevelType w:val="multilevel"/>
    <w:tmpl w:val="78D54744"/>
    <w:lvl w:ilvl="0" w:tentative="0">
      <w:start w:val="1"/>
      <w:numFmt w:val="decimal"/>
      <w:lvlText w:val="%1."/>
      <w:lvlJc w:val="left"/>
      <w:pPr>
        <w:tabs>
          <w:tab w:val="left" w:pos="780"/>
        </w:tabs>
        <w:ind w:left="780" w:hanging="360"/>
      </w:pPr>
      <w:rPr>
        <w:rFonts w:hint="default" w:ascii="宋体" w:hAnsi="宋体" w:eastAsia="宋体" w:cs="Times New Roman"/>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9">
    <w:nsid w:val="798ED9D1"/>
    <w:multiLevelType w:val="singleLevel"/>
    <w:tmpl w:val="798ED9D1"/>
    <w:lvl w:ilvl="0" w:tentative="0">
      <w:start w:val="5"/>
      <w:numFmt w:val="chineseCounting"/>
      <w:suff w:val="space"/>
      <w:lvlText w:val="第%1章"/>
      <w:lvlJc w:val="left"/>
      <w:rPr>
        <w:rFonts w:hint="eastAsia"/>
      </w:rPr>
    </w:lvl>
  </w:abstractNum>
  <w:abstractNum w:abstractNumId="30">
    <w:nsid w:val="7AA427DD"/>
    <w:multiLevelType w:val="multilevel"/>
    <w:tmpl w:val="7AA427DD"/>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1">
    <w:nsid w:val="7D916B5C"/>
    <w:multiLevelType w:val="multilevel"/>
    <w:tmpl w:val="7D916B5C"/>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8"/>
  </w:num>
  <w:num w:numId="4">
    <w:abstractNumId w:val="12"/>
  </w:num>
  <w:num w:numId="5">
    <w:abstractNumId w:val="13"/>
  </w:num>
  <w:num w:numId="6">
    <w:abstractNumId w:val="15"/>
  </w:num>
  <w:num w:numId="7">
    <w:abstractNumId w:val="10"/>
  </w:num>
  <w:num w:numId="8">
    <w:abstractNumId w:val="27"/>
  </w:num>
  <w:num w:numId="9">
    <w:abstractNumId w:val="17"/>
  </w:num>
  <w:num w:numId="10">
    <w:abstractNumId w:val="18"/>
  </w:num>
  <w:num w:numId="11">
    <w:abstractNumId w:val="20"/>
  </w:num>
  <w:num w:numId="12">
    <w:abstractNumId w:val="16"/>
  </w:num>
  <w:num w:numId="13">
    <w:abstractNumId w:val="26"/>
  </w:num>
  <w:num w:numId="14">
    <w:abstractNumId w:val="7"/>
  </w:num>
  <w:num w:numId="15">
    <w:abstractNumId w:val="0"/>
  </w:num>
  <w:num w:numId="16">
    <w:abstractNumId w:val="29"/>
  </w:num>
  <w:num w:numId="17">
    <w:abstractNumId w:val="24"/>
  </w:num>
  <w:num w:numId="18">
    <w:abstractNumId w:val="31"/>
  </w:num>
  <w:num w:numId="19">
    <w:abstractNumId w:val="25"/>
  </w:num>
  <w:num w:numId="20">
    <w:abstractNumId w:val="6"/>
  </w:num>
  <w:num w:numId="21">
    <w:abstractNumId w:val="28"/>
  </w:num>
  <w:num w:numId="22">
    <w:abstractNumId w:val="11"/>
  </w:num>
  <w:num w:numId="23">
    <w:abstractNumId w:val="3"/>
  </w:num>
  <w:num w:numId="24">
    <w:abstractNumId w:val="19"/>
  </w:num>
  <w:num w:numId="25">
    <w:abstractNumId w:val="5"/>
  </w:num>
  <w:num w:numId="26">
    <w:abstractNumId w:val="23"/>
  </w:num>
  <w:num w:numId="27">
    <w:abstractNumId w:val="2"/>
  </w:num>
  <w:num w:numId="28">
    <w:abstractNumId w:val="9"/>
  </w:num>
  <w:num w:numId="29">
    <w:abstractNumId w:val="14"/>
  </w:num>
  <w:num w:numId="30">
    <w:abstractNumId w:val="22"/>
  </w:num>
  <w:num w:numId="31">
    <w:abstractNumId w:val="30"/>
  </w:num>
  <w:num w:numId="3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wOTZjZjRjZjMxMzhlZWNiNTUyYTEzNDMxZWUwMWYifQ=="/>
  </w:docVars>
  <w:rsids>
    <w:rsidRoot w:val="00000000"/>
    <w:rsid w:val="0224362A"/>
    <w:rsid w:val="08185A79"/>
    <w:rsid w:val="09544372"/>
    <w:rsid w:val="0F3F1037"/>
    <w:rsid w:val="123A3D1E"/>
    <w:rsid w:val="12EB4ACF"/>
    <w:rsid w:val="17E92EF4"/>
    <w:rsid w:val="18937FE8"/>
    <w:rsid w:val="1906383B"/>
    <w:rsid w:val="1BD023EC"/>
    <w:rsid w:val="23CF7AA4"/>
    <w:rsid w:val="2D110B7E"/>
    <w:rsid w:val="3C264F03"/>
    <w:rsid w:val="47590C4D"/>
    <w:rsid w:val="4DDD2D6E"/>
    <w:rsid w:val="52E84CE1"/>
    <w:rsid w:val="55E06306"/>
    <w:rsid w:val="5EF9540B"/>
    <w:rsid w:val="63EB4797"/>
    <w:rsid w:val="68D51CA5"/>
    <w:rsid w:val="69135BC4"/>
    <w:rsid w:val="69AA4EE0"/>
    <w:rsid w:val="6B5F34DE"/>
    <w:rsid w:val="6C5A5571"/>
    <w:rsid w:val="6CB7039D"/>
    <w:rsid w:val="7203023E"/>
    <w:rsid w:val="76AA4356"/>
    <w:rsid w:val="79C931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autoSpaceDE w:val="0"/>
      <w:autoSpaceDN w:val="0"/>
      <w:adjustRightInd w:val="0"/>
    </w:pPr>
    <w:rPr>
      <w:rFonts w:ascii="Times New Roman" w:hAnsi="Times New Roman" w:eastAsia="宋体" w:cs="Times New Roman"/>
      <w:sz w:val="21"/>
      <w:szCs w:val="21"/>
      <w:lang w:val="en-US" w:eastAsia="zh-CN" w:bidi="ar-SA"/>
    </w:rPr>
  </w:style>
  <w:style w:type="paragraph" w:styleId="3">
    <w:name w:val="heading 2"/>
    <w:basedOn w:val="1"/>
    <w:next w:val="4"/>
    <w:autoRedefine/>
    <w:qFormat/>
    <w:uiPriority w:val="0"/>
    <w:pPr>
      <w:keepNext/>
      <w:keepLines/>
      <w:autoSpaceDE/>
      <w:autoSpaceDN/>
      <w:adjustRightInd/>
      <w:spacing w:before="260" w:after="260" w:line="416" w:lineRule="auto"/>
      <w:jc w:val="both"/>
      <w:outlineLvl w:val="1"/>
    </w:pPr>
    <w:rPr>
      <w:rFonts w:ascii="Arial" w:hAnsi="Arial" w:eastAsia="黑体"/>
      <w:b/>
      <w:bCs/>
      <w:kern w:val="2"/>
      <w:sz w:val="32"/>
      <w:szCs w:val="32"/>
    </w:rPr>
  </w:style>
  <w:style w:type="character" w:default="1" w:styleId="14">
    <w:name w:val="Default Paragraph Font"/>
    <w:autoRedefine/>
    <w:semiHidden/>
    <w:qFormat/>
    <w:uiPriority w:val="0"/>
  </w:style>
  <w:style w:type="table" w:default="1" w:styleId="13">
    <w:name w:val="Normal Table"/>
    <w:autoRedefine/>
    <w:semiHidden/>
    <w:qFormat/>
    <w:uiPriority w:val="0"/>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hint="eastAsia" w:ascii="华文中宋" w:hAnsi="Calibri" w:eastAsia="华文中宋" w:cs="Times New Roman"/>
      <w:color w:val="000000"/>
      <w:sz w:val="24"/>
      <w:lang w:val="en-US" w:eastAsia="zh-CN" w:bidi="ar-SA"/>
    </w:rPr>
  </w:style>
  <w:style w:type="paragraph" w:styleId="4">
    <w:name w:val="Normal Indent"/>
    <w:basedOn w:val="1"/>
    <w:autoRedefine/>
    <w:qFormat/>
    <w:uiPriority w:val="0"/>
    <w:pPr>
      <w:autoSpaceDE/>
      <w:autoSpaceDN/>
      <w:adjustRightInd/>
      <w:ind w:firstLine="420"/>
      <w:jc w:val="both"/>
    </w:pPr>
    <w:rPr>
      <w:kern w:val="2"/>
      <w:szCs w:val="20"/>
    </w:rPr>
  </w:style>
  <w:style w:type="paragraph" w:styleId="5">
    <w:name w:val="annotation text"/>
    <w:basedOn w:val="1"/>
    <w:autoRedefine/>
    <w:semiHidden/>
    <w:unhideWhenUsed/>
    <w:qFormat/>
    <w:uiPriority w:val="99"/>
    <w:pPr>
      <w:jc w:val="left"/>
    </w:pPr>
  </w:style>
  <w:style w:type="paragraph" w:styleId="6">
    <w:name w:val="Body Text"/>
    <w:basedOn w:val="1"/>
    <w:autoRedefine/>
    <w:qFormat/>
    <w:uiPriority w:val="0"/>
    <w:pPr>
      <w:autoSpaceDE/>
      <w:autoSpaceDN/>
      <w:adjustRightInd/>
      <w:spacing w:after="120"/>
      <w:jc w:val="both"/>
    </w:pPr>
    <w:rPr>
      <w:kern w:val="2"/>
      <w:szCs w:val="24"/>
    </w:rPr>
  </w:style>
  <w:style w:type="paragraph" w:styleId="7">
    <w:name w:val="Plain Text"/>
    <w:basedOn w:val="1"/>
    <w:autoRedefine/>
    <w:qFormat/>
    <w:uiPriority w:val="0"/>
    <w:pPr>
      <w:autoSpaceDE/>
      <w:autoSpaceDN/>
      <w:adjustRightInd/>
      <w:jc w:val="both"/>
    </w:pPr>
    <w:rPr>
      <w:rFonts w:ascii="宋体" w:hAnsi="Courier New" w:cs="Courier New"/>
      <w:kern w:val="2"/>
    </w:rPr>
  </w:style>
  <w:style w:type="paragraph" w:styleId="8">
    <w:name w:val="footer"/>
    <w:basedOn w:val="1"/>
    <w:autoRedefine/>
    <w:qFormat/>
    <w:uiPriority w:val="0"/>
    <w:pPr>
      <w:tabs>
        <w:tab w:val="center" w:pos="4153"/>
        <w:tab w:val="right" w:pos="8306"/>
      </w:tabs>
      <w:snapToGrid w:val="0"/>
    </w:pPr>
    <w:rPr>
      <w:sz w:val="18"/>
      <w:szCs w:val="18"/>
    </w:rPr>
  </w:style>
  <w:style w:type="paragraph" w:styleId="9">
    <w:name w:val="toc 1"/>
    <w:basedOn w:val="1"/>
    <w:next w:val="1"/>
    <w:autoRedefine/>
    <w:qFormat/>
    <w:uiPriority w:val="39"/>
    <w:pPr>
      <w:tabs>
        <w:tab w:val="left" w:pos="420"/>
        <w:tab w:val="right" w:leader="dot" w:pos="8943"/>
      </w:tabs>
      <w:spacing w:line="360" w:lineRule="auto"/>
    </w:pPr>
    <w:rPr>
      <w:rFonts w:ascii="宋体" w:hAnsi="宋体"/>
      <w:b/>
    </w:rPr>
  </w:style>
  <w:style w:type="paragraph" w:styleId="10">
    <w:name w:val="Body Text 2"/>
    <w:basedOn w:val="1"/>
    <w:autoRedefine/>
    <w:qFormat/>
    <w:uiPriority w:val="0"/>
    <w:pPr>
      <w:autoSpaceDE w:val="0"/>
      <w:autoSpaceDN w:val="0"/>
      <w:adjustRightInd w:val="0"/>
    </w:pPr>
    <w:rPr>
      <w:rFonts w:ascii="宋体"/>
      <w:kern w:val="0"/>
      <w:sz w:val="28"/>
    </w:rPr>
  </w:style>
  <w:style w:type="paragraph" w:styleId="11">
    <w:name w:val="Normal (Web)"/>
    <w:basedOn w:val="1"/>
    <w:autoRedefine/>
    <w:qFormat/>
    <w:uiPriority w:val="99"/>
    <w:pPr>
      <w:widowControl/>
      <w:autoSpaceDE/>
      <w:autoSpaceDN/>
      <w:adjustRightInd/>
      <w:spacing w:before="100" w:beforeAutospacing="1" w:after="100" w:afterAutospacing="1"/>
    </w:pPr>
    <w:rPr>
      <w:rFonts w:ascii="宋体" w:hAnsi="宋体"/>
      <w:sz w:val="24"/>
      <w:szCs w:val="24"/>
    </w:rPr>
  </w:style>
  <w:style w:type="paragraph" w:styleId="12">
    <w:name w:val="Body Text First Indent"/>
    <w:basedOn w:val="6"/>
    <w:autoRedefine/>
    <w:unhideWhenUsed/>
    <w:qFormat/>
    <w:uiPriority w:val="99"/>
    <w:pPr>
      <w:ind w:firstLine="420" w:firstLineChars="100"/>
    </w:pPr>
  </w:style>
  <w:style w:type="character" w:styleId="15">
    <w:name w:val="Strong"/>
    <w:autoRedefine/>
    <w:qFormat/>
    <w:uiPriority w:val="22"/>
    <w:rPr>
      <w:b/>
      <w:bCs/>
    </w:rPr>
  </w:style>
  <w:style w:type="character" w:styleId="16">
    <w:name w:val="page number"/>
    <w:basedOn w:val="14"/>
    <w:autoRedefine/>
    <w:qFormat/>
    <w:uiPriority w:val="0"/>
  </w:style>
  <w:style w:type="paragraph" w:customStyle="1" w:styleId="17">
    <w:name w:val="首行缩进"/>
    <w:basedOn w:val="1"/>
    <w:autoRedefine/>
    <w:qFormat/>
    <w:uiPriority w:val="0"/>
    <w:pPr>
      <w:ind w:firstLine="480" w:firstLineChars="200"/>
    </w:pPr>
  </w:style>
  <w:style w:type="paragraph" w:customStyle="1" w:styleId="18">
    <w:name w:val="表格文字"/>
    <w:basedOn w:val="1"/>
    <w:autoRedefine/>
    <w:qFormat/>
    <w:uiPriority w:val="0"/>
    <w:pPr>
      <w:spacing w:before="25" w:after="25"/>
      <w:jc w:val="left"/>
    </w:pPr>
    <w:rPr>
      <w:rFonts w:ascii="Times New Roman" w:hAnsi="Times New Roman"/>
      <w:bCs/>
      <w:spacing w:val="10"/>
      <w:kern w:val="0"/>
      <w:szCs w:val="20"/>
    </w:rPr>
  </w:style>
  <w:style w:type="paragraph" w:customStyle="1" w:styleId="19">
    <w:name w:val="1册标题2"/>
    <w:basedOn w:val="3"/>
    <w:next w:val="1"/>
    <w:autoRedefine/>
    <w:qFormat/>
    <w:uiPriority w:val="0"/>
    <w:pPr>
      <w:keepNext w:val="0"/>
      <w:spacing w:after="0" w:line="312" w:lineRule="auto"/>
      <w:jc w:val="center"/>
      <w:outlineLvl w:val="9"/>
    </w:pPr>
    <w:rPr>
      <w:szCs w:val="21"/>
    </w:rPr>
  </w:style>
  <w:style w:type="paragraph" w:styleId="20">
    <w:name w:val="List Paragraph"/>
    <w:basedOn w:val="1"/>
    <w:autoRedefine/>
    <w:qFormat/>
    <w:uiPriority w:val="34"/>
    <w:pPr>
      <w:autoSpaceDE/>
      <w:autoSpaceDN/>
      <w:adjustRightInd/>
      <w:ind w:firstLine="420" w:firstLineChars="200"/>
      <w:jc w:val="both"/>
    </w:pPr>
    <w:rPr>
      <w:rFonts w:eastAsia="黑体"/>
      <w:bCs/>
      <w:kern w:val="2"/>
      <w:sz w:val="30"/>
      <w:szCs w:val="30"/>
    </w:rPr>
  </w:style>
  <w:style w:type="paragraph" w:customStyle="1" w:styleId="21">
    <w:name w:val="_Style 3"/>
    <w:basedOn w:val="1"/>
    <w:autoRedefine/>
    <w:qFormat/>
    <w:uiPriority w:val="0"/>
    <w:pPr>
      <w:ind w:firstLine="420" w:firstLineChars="200"/>
    </w:pPr>
  </w:style>
  <w:style w:type="paragraph" w:customStyle="1" w:styleId="22">
    <w:name w:val="图"/>
    <w:basedOn w:val="1"/>
    <w:autoRedefine/>
    <w:qFormat/>
    <w:uiPriority w:val="0"/>
    <w:pPr>
      <w:keepNext/>
      <w:autoSpaceDE/>
      <w:autoSpaceDN/>
      <w:spacing w:before="60" w:after="60" w:line="300" w:lineRule="auto"/>
      <w:jc w:val="center"/>
      <w:textAlignment w:val="center"/>
    </w:pPr>
    <w:rPr>
      <w:snapToGrid w:val="0"/>
      <w:spacing w:val="20"/>
      <w:sz w:val="24"/>
    </w:rPr>
  </w:style>
  <w:style w:type="paragraph" w:customStyle="1" w:styleId="23">
    <w:name w:val="列表段落1"/>
    <w:basedOn w:val="1"/>
    <w:autoRedefine/>
    <w:qFormat/>
    <w:uiPriority w:val="34"/>
    <w:pPr>
      <w:autoSpaceDE/>
      <w:autoSpaceDN/>
      <w:adjustRightInd/>
      <w:ind w:firstLine="420" w:firstLineChars="200"/>
      <w:jc w:val="both"/>
    </w:pPr>
    <w:rPr>
      <w:rFonts w:eastAsia="黑体"/>
      <w:bCs/>
      <w:kern w:val="2"/>
      <w:sz w:val="30"/>
      <w:szCs w:val="30"/>
    </w:rPr>
  </w:style>
  <w:style w:type="paragraph" w:styleId="24">
    <w:name w:val="No Spacing"/>
    <w:autoRedefine/>
    <w:qFormat/>
    <w:uiPriority w:val="1"/>
    <w:pPr>
      <w:adjustRightInd w:val="0"/>
      <w:snapToGrid w:val="0"/>
    </w:pPr>
    <w:rPr>
      <w:rFonts w:ascii="Tahoma" w:hAnsi="Tahoma" w:eastAsia="微软雅黑" w:cs="Times New Roman"/>
      <w:sz w:val="22"/>
      <w:szCs w:val="22"/>
      <w:lang w:val="en-US" w:eastAsia="zh-CN" w:bidi="ar-SA"/>
    </w:rPr>
  </w:style>
  <w:style w:type="paragraph" w:customStyle="1" w:styleId="25">
    <w:name w:val="null3"/>
    <w:autoRedefine/>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56</Pages>
  <Words>11125</Words>
  <Characters>11937</Characters>
  <Lines>0</Lines>
  <Paragraphs>0</Paragraphs>
  <TotalTime>23</TotalTime>
  <ScaleCrop>false</ScaleCrop>
  <LinksUpToDate>false</LinksUpToDate>
  <CharactersWithSpaces>12072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2023-05-30T08:21:00Z</dcterms:created>
  <dc:creator>xiong</dc:creator>
  <cp:lastModifiedBy>WPS_1648456649</cp:lastModifiedBy>
  <dcterms:modified xsi:type="dcterms:W3CDTF">2024-12-24T07:31:47Z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BAB51C85712349C0A2EBB7DE40ED407F_13</vt:lpwstr>
  </property>
</Properties>
</file>